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984069C" w14:textId="242AF49C" w:rsidR="004823D4" w:rsidRPr="001A5F3A" w:rsidRDefault="004823D4" w:rsidP="004823D4">
      <w:pPr>
        <w:spacing w:line="320" w:lineRule="exact"/>
        <w:rPr>
          <w:rFonts w:ascii="Arial" w:hAnsi="Arial" w:cs="Arial"/>
          <w:b/>
          <w:bCs/>
          <w:snapToGrid w:val="0"/>
        </w:rPr>
      </w:pPr>
      <w:r w:rsidRPr="00957B21">
        <w:rPr>
          <w:rFonts w:ascii="Arial" w:hAnsi="Arial" w:cs="Arial"/>
          <w:b/>
          <w:bCs/>
          <w:snapToGrid w:val="0"/>
          <w:lang w:val="en-GB"/>
        </w:rPr>
        <w:t>3GPP TSG RAN WG1 #</w:t>
      </w:r>
      <w:r w:rsidR="005839F2">
        <w:rPr>
          <w:rFonts w:ascii="Arial" w:hAnsi="Arial" w:cs="Arial"/>
          <w:b/>
          <w:bCs/>
          <w:snapToGrid w:val="0"/>
          <w:lang w:val="en-GB"/>
        </w:rPr>
        <w:t>11</w:t>
      </w:r>
      <w:r w:rsidR="004D1A9E">
        <w:rPr>
          <w:rFonts w:ascii="Arial" w:hAnsi="Arial" w:cs="Arial"/>
          <w:b/>
          <w:bCs/>
          <w:snapToGrid w:val="0"/>
          <w:lang w:val="en-GB"/>
        </w:rPr>
        <w:t>4</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442C0C" w:rsidRPr="00957B21">
        <w:rPr>
          <w:rFonts w:ascii="Arial" w:hAnsi="Arial" w:cs="Arial"/>
          <w:b/>
          <w:bCs/>
          <w:snapToGrid w:val="0"/>
        </w:rPr>
        <w:t>2</w:t>
      </w:r>
      <w:r w:rsidR="00442C0C">
        <w:rPr>
          <w:rFonts w:ascii="Arial" w:hAnsi="Arial" w:cs="Arial"/>
          <w:b/>
          <w:bCs/>
          <w:snapToGrid w:val="0"/>
        </w:rPr>
        <w:t>30</w:t>
      </w:r>
      <w:r w:rsidR="004D1A9E">
        <w:rPr>
          <w:rFonts w:ascii="Arial" w:hAnsi="Arial" w:cs="Arial"/>
          <w:b/>
          <w:bCs/>
          <w:snapToGrid w:val="0"/>
        </w:rPr>
        <w:t>7018</w:t>
      </w:r>
    </w:p>
    <w:p w14:paraId="28FE52B5" w14:textId="3DCBB8C1" w:rsidR="004823D4" w:rsidRPr="006A0944" w:rsidRDefault="004D1A9E" w:rsidP="004823D4">
      <w:pPr>
        <w:pBdr>
          <w:bottom w:val="single" w:sz="12" w:space="1" w:color="auto"/>
        </w:pBdr>
        <w:spacing w:line="240" w:lineRule="atLeast"/>
        <w:rPr>
          <w:rFonts w:ascii="Arial" w:hAnsi="Arial" w:cs="Arial"/>
          <w:b/>
          <w:bCs/>
          <w:snapToGrid w:val="0"/>
        </w:rPr>
      </w:pPr>
      <w:r>
        <w:rPr>
          <w:rFonts w:ascii="Arial" w:hAnsi="Arial" w:cs="Arial" w:hint="eastAsia"/>
          <w:b/>
          <w:bCs/>
          <w:snapToGrid w:val="0"/>
          <w:lang w:val="en-GB"/>
        </w:rPr>
        <w:t>Toulouse, France</w:t>
      </w:r>
      <w:r w:rsidR="004823D4">
        <w:rPr>
          <w:rFonts w:ascii="Arial" w:hAnsi="Arial" w:cs="Arial"/>
          <w:b/>
          <w:bCs/>
          <w:snapToGrid w:val="0"/>
          <w:lang w:val="en-GB"/>
        </w:rPr>
        <w:t xml:space="preserve">, </w:t>
      </w:r>
      <w:r>
        <w:rPr>
          <w:rFonts w:ascii="Arial" w:hAnsi="Arial" w:cs="Arial"/>
          <w:b/>
          <w:bCs/>
          <w:snapToGrid w:val="0"/>
          <w:lang w:val="en-GB"/>
        </w:rPr>
        <w:t>August</w:t>
      </w:r>
      <w:r w:rsidR="004823D4" w:rsidRPr="00957B21">
        <w:rPr>
          <w:rFonts w:ascii="Arial" w:hAnsi="Arial" w:cs="Arial"/>
          <w:b/>
          <w:bCs/>
          <w:snapToGrid w:val="0"/>
          <w:lang w:val="en-GB"/>
        </w:rPr>
        <w:t xml:space="preserve"> </w:t>
      </w:r>
      <w:r w:rsidR="005C708D">
        <w:rPr>
          <w:rFonts w:ascii="Arial" w:hAnsi="Arial" w:cs="Arial"/>
          <w:b/>
          <w:bCs/>
          <w:snapToGrid w:val="0"/>
          <w:lang w:val="en-GB"/>
        </w:rPr>
        <w:t>2</w:t>
      </w:r>
      <w:r>
        <w:rPr>
          <w:rFonts w:ascii="Arial" w:hAnsi="Arial" w:cs="Arial"/>
          <w:b/>
          <w:bCs/>
          <w:snapToGrid w:val="0"/>
          <w:lang w:val="en-GB"/>
        </w:rPr>
        <w:t>1</w:t>
      </w:r>
      <w:r>
        <w:rPr>
          <w:rFonts w:ascii="Arial" w:hAnsi="Arial" w:cs="Arial"/>
          <w:b/>
          <w:bCs/>
          <w:snapToGrid w:val="0"/>
          <w:vertAlign w:val="superscript"/>
          <w:lang w:val="en-GB"/>
        </w:rPr>
        <w:t>st</w:t>
      </w:r>
      <w:r w:rsidR="004823D4" w:rsidRPr="00957B21">
        <w:rPr>
          <w:rFonts w:ascii="Arial" w:eastAsia="MS Mincho" w:hAnsi="Arial" w:cs="Arial"/>
          <w:b/>
          <w:bCs/>
          <w:lang w:val="en-GB" w:eastAsia="ja-JP"/>
        </w:rPr>
        <w:t xml:space="preserve"> – </w:t>
      </w:r>
      <w:r>
        <w:rPr>
          <w:rFonts w:ascii="Arial" w:eastAsia="MS Mincho" w:hAnsi="Arial" w:cs="Arial"/>
          <w:b/>
          <w:bCs/>
          <w:lang w:val="en-GB" w:eastAsia="ja-JP"/>
        </w:rPr>
        <w:t>August</w:t>
      </w:r>
      <w:r w:rsidR="004823D4">
        <w:rPr>
          <w:rFonts w:ascii="Arial" w:eastAsia="MS Mincho" w:hAnsi="Arial" w:cs="Arial"/>
          <w:b/>
          <w:bCs/>
          <w:lang w:val="en-GB" w:eastAsia="ja-JP"/>
        </w:rPr>
        <w:t xml:space="preserve"> </w:t>
      </w:r>
      <w:r w:rsidR="009D58F9">
        <w:rPr>
          <w:rFonts w:ascii="Arial" w:eastAsia="MS Mincho" w:hAnsi="Arial" w:cs="Arial"/>
          <w:b/>
          <w:bCs/>
          <w:lang w:val="en-GB" w:eastAsia="ja-JP"/>
        </w:rPr>
        <w:t>2</w:t>
      </w:r>
      <w:r>
        <w:rPr>
          <w:rFonts w:ascii="Arial" w:eastAsia="MS Mincho" w:hAnsi="Arial" w:cs="Arial"/>
          <w:b/>
          <w:bCs/>
          <w:lang w:val="en-GB" w:eastAsia="ja-JP"/>
        </w:rPr>
        <w:t>5</w:t>
      </w:r>
      <w:r w:rsidR="009D58F9" w:rsidRPr="009D58F9">
        <w:rPr>
          <w:rFonts w:ascii="Arial" w:eastAsia="MS Mincho" w:hAnsi="Arial" w:cs="Arial"/>
          <w:b/>
          <w:bCs/>
          <w:vertAlign w:val="superscript"/>
          <w:lang w:val="en-GB" w:eastAsia="ja-JP"/>
        </w:rPr>
        <w:t>th</w:t>
      </w:r>
      <w:r w:rsidR="004823D4" w:rsidRPr="00957B21">
        <w:rPr>
          <w:rFonts w:ascii="Arial" w:eastAsia="MS Mincho" w:hAnsi="Arial" w:cs="Arial"/>
          <w:b/>
          <w:bCs/>
          <w:lang w:val="en-GB" w:eastAsia="ja-JP"/>
        </w:rPr>
        <w:t>, 202</w:t>
      </w:r>
      <w:r w:rsidR="004823D4">
        <w:rPr>
          <w:rFonts w:ascii="Arial" w:eastAsia="MS Mincho" w:hAnsi="Arial" w:cs="Arial"/>
          <w:b/>
          <w:bCs/>
          <w:lang w:val="en-GB" w:eastAsia="ja-JP"/>
        </w:rPr>
        <w:t>3</w:t>
      </w:r>
    </w:p>
    <w:p w14:paraId="260329CA" w14:textId="48D1D57B"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w:t>
      </w:r>
      <w:r w:rsidR="00E3690D">
        <w:rPr>
          <w:rFonts w:ascii="Times New Roman" w:hAnsi="Times New Roman"/>
        </w:rPr>
        <w:t>10</w:t>
      </w:r>
      <w:r w:rsidR="00957B21">
        <w:rPr>
          <w:rFonts w:ascii="Times New Roman" w:hAnsi="Times New Roman"/>
        </w:rPr>
        <w:t>.1</w:t>
      </w:r>
    </w:p>
    <w:p w14:paraId="6266EABF" w14:textId="7AD3148A" w:rsidR="004A0DEB" w:rsidRPr="00D949A0" w:rsidRDefault="004A0DEB" w:rsidP="000941AD">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r w:rsidR="00F341DB">
        <w:rPr>
          <w:rFonts w:ascii="Times New Roman" w:hAnsi="Times New Roman"/>
        </w:rPr>
        <w:tab/>
      </w:r>
    </w:p>
    <w:p w14:paraId="21487C5A" w14:textId="6EF2FEC6"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566E8C">
        <w:rPr>
          <w:rFonts w:ascii="Times New Roman" w:hAnsi="Times New Roman"/>
        </w:rPr>
        <w:t>Enhancements on inter-cell beam management for mobility</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265B4ECD"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 xml:space="preserve">further </w:t>
      </w:r>
      <w:r w:rsidR="00265A2E">
        <w:rPr>
          <w:b w:val="0"/>
          <w:sz w:val="22"/>
          <w:lang w:val="en-US"/>
        </w:rPr>
        <w:t>NR mobility enhancements</w:t>
      </w:r>
      <w:r w:rsidR="00475EA3" w:rsidRPr="00475EA3">
        <w:rPr>
          <w:b w:val="0"/>
          <w:sz w:val="22"/>
          <w:lang w:val="en-US"/>
        </w:rPr>
        <w:t xml:space="preserve">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w:t>
      </w:r>
      <w:r w:rsidR="00265A2E">
        <w:rPr>
          <w:b w:val="0"/>
          <w:sz w:val="22"/>
          <w:lang w:val="en-US"/>
        </w:rPr>
        <w:t>L1 enhancements for inter-cell beam management and timing advance management as</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4D1AE946" w14:textId="77777777" w:rsidR="00265A2E" w:rsidRPr="00265A2E" w:rsidRDefault="00265A2E" w:rsidP="00442C0C">
            <w:pPr>
              <w:numPr>
                <w:ilvl w:val="0"/>
                <w:numId w:val="10"/>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To specify mechanism and procedures of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1/L2 based inter-cell mobility for mobility latency reduction:</w:t>
            </w:r>
          </w:p>
          <w:p w14:paraId="1C73F12F"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Configuration and maintenance for multiple candidate cells to allow fast application of configurations for candidate cells [RAN2, RAN3]</w:t>
            </w:r>
          </w:p>
          <w:p w14:paraId="26F847E1"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Dynamic switch mechanism among candidate serving cells (including SpCell and SCell) for the potential applicable scenarios based on L1</w:t>
            </w:r>
            <w:r w:rsidRPr="00265A2E">
              <w:rPr>
                <w:rFonts w:ascii="Times New Roman" w:eastAsia="맑은 고딕" w:hAnsi="Times New Roman" w:cs="Times New Roman" w:hint="eastAsia"/>
                <w:bCs/>
                <w:sz w:val="20"/>
                <w:szCs w:val="20"/>
                <w:lang w:eastAsia="en-GB"/>
              </w:rPr>
              <w:t>/</w:t>
            </w:r>
            <w:r w:rsidRPr="00265A2E">
              <w:rPr>
                <w:rFonts w:ascii="Times New Roman" w:eastAsia="맑은 고딕" w:hAnsi="Times New Roman" w:cs="Times New Roman"/>
                <w:bCs/>
                <w:sz w:val="20"/>
                <w:szCs w:val="20"/>
                <w:lang w:eastAsia="en-GB"/>
              </w:rPr>
              <w:t>L2 signalling [RAN2, RAN1]</w:t>
            </w:r>
          </w:p>
          <w:p w14:paraId="1DEA583C"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L1 enhancements for inter-cell beam management, including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 measurement and reporting, and beam indication [RAN1, RAN2]</w:t>
            </w:r>
          </w:p>
          <w:p w14:paraId="4247B2F0" w14:textId="77777777" w:rsidR="00265A2E" w:rsidRPr="00265A2E" w:rsidRDefault="00265A2E" w:rsidP="00442C0C">
            <w:pPr>
              <w:numPr>
                <w:ilvl w:val="1"/>
                <w:numId w:val="11"/>
              </w:numPr>
              <w:overflowPunct w:val="0"/>
              <w:autoSpaceDE w:val="0"/>
              <w:autoSpaceDN w:val="0"/>
              <w:adjustRightInd w:val="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1: Early RAN2 involvement is necessary, including the possibility of further clarifying the interaction between this bullet with the previous bullet</w:t>
            </w:r>
          </w:p>
          <w:p w14:paraId="53A8836B"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Timing Advance management [RAN1, RAN2]</w:t>
            </w:r>
          </w:p>
          <w:p w14:paraId="02C67EBC"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CU-DU interface signaling to support L1/</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2 mobility, if needed [RAN3]</w:t>
            </w:r>
          </w:p>
          <w:p w14:paraId="13F8A421" w14:textId="77777777" w:rsidR="00265A2E" w:rsidRPr="00265A2E" w:rsidRDefault="00265A2E" w:rsidP="00265A2E">
            <w:p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p>
          <w:p w14:paraId="44BD3173"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2: FR2 specific enhancements are not precluded, if any.</w:t>
            </w:r>
          </w:p>
          <w:p w14:paraId="291EE0BF"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3: The procedure of L1/L2 based inter-cell mobility are applicable to the following scenarios:</w:t>
            </w:r>
          </w:p>
          <w:p w14:paraId="20A0BC4E"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Standalone, CA and NR-DC case with serving cell change within one CG</w:t>
            </w:r>
          </w:p>
          <w:p w14:paraId="5164C9A9"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Intra-DU case and intra-CU inter-DU case (applicable for Standalone and CA: no new RAN interfaces are expected)</w:t>
            </w:r>
          </w:p>
          <w:p w14:paraId="2299439E"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intra-frequency and inter-frequency</w:t>
            </w:r>
          </w:p>
          <w:p w14:paraId="6CC3DB76"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FR1 and FR2</w:t>
            </w:r>
          </w:p>
          <w:p w14:paraId="0E403A44" w14:textId="0A38803D" w:rsidR="00475EA3"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Source and target cells may be synchronized or non-synchronized</w:t>
            </w:r>
          </w:p>
        </w:tc>
      </w:tr>
    </w:tbl>
    <w:p w14:paraId="30441C51" w14:textId="40087975"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Pr>
          <w:b w:val="0"/>
          <w:sz w:val="22"/>
          <w:lang w:val="en-US"/>
        </w:rPr>
        <w:t xml:space="preserve">potential enhancements on </w:t>
      </w:r>
      <w:r w:rsidR="0004227F">
        <w:rPr>
          <w:b w:val="0"/>
          <w:sz w:val="22"/>
          <w:lang w:val="en-US"/>
        </w:rPr>
        <w:t>L1/L2 triggered inter-cell mobility (LTM)</w:t>
      </w:r>
      <w:r>
        <w:rPr>
          <w:b w:val="0"/>
          <w:sz w:val="22"/>
          <w:lang w:val="en-US"/>
        </w:rPr>
        <w:t>.</w:t>
      </w:r>
    </w:p>
    <w:p w14:paraId="21CCF367" w14:textId="60279B5C" w:rsidR="004F44A5" w:rsidRPr="00523974" w:rsidRDefault="001C4E9F" w:rsidP="00523974">
      <w:pPr>
        <w:pStyle w:val="1"/>
        <w:numPr>
          <w:ilvl w:val="0"/>
          <w:numId w:val="9"/>
        </w:numPr>
        <w:pBdr>
          <w:top w:val="single" w:sz="12" w:space="1" w:color="auto"/>
        </w:pBdr>
        <w:spacing w:before="360" w:line="360" w:lineRule="auto"/>
        <w:rPr>
          <w:rFonts w:ascii="Times New Roman" w:hAnsi="Times New Roman" w:hint="eastAsia"/>
          <w:color w:val="auto"/>
          <w:sz w:val="32"/>
          <w:szCs w:val="32"/>
        </w:rPr>
      </w:pPr>
      <w:r>
        <w:rPr>
          <w:rFonts w:ascii="Times New Roman" w:hAnsi="Times New Roman"/>
          <w:color w:val="auto"/>
          <w:sz w:val="32"/>
          <w:szCs w:val="32"/>
        </w:rPr>
        <w:t>Discussion</w:t>
      </w:r>
      <w:r w:rsidR="00523974">
        <w:rPr>
          <w:rFonts w:ascii="Times New Roman" w:hAnsi="Times New Roman"/>
          <w:color w:val="auto"/>
          <w:sz w:val="32"/>
          <w:szCs w:val="32"/>
        </w:rPr>
        <w:t xml:space="preserve"> on L1 measurement reporting</w:t>
      </w:r>
    </w:p>
    <w:p w14:paraId="0C9B7B83" w14:textId="7904D6E9" w:rsidR="00A821D3" w:rsidRDefault="00A821D3" w:rsidP="00A821D3">
      <w:pPr>
        <w:pStyle w:val="LGTdoc1"/>
        <w:snapToGrid/>
        <w:spacing w:beforeLines="0" w:before="100" w:beforeAutospacing="1" w:after="0" w:afterAutospacing="0" w:line="360" w:lineRule="auto"/>
        <w:ind w:firstLineChars="129" w:firstLine="284"/>
        <w:contextualSpacing/>
        <w:rPr>
          <w:b w:val="0"/>
          <w:sz w:val="22"/>
        </w:rPr>
      </w:pPr>
      <w:r>
        <w:rPr>
          <w:rFonts w:hint="eastAsia"/>
          <w:b w:val="0"/>
          <w:sz w:val="22"/>
        </w:rPr>
        <w:t>I</w:t>
      </w:r>
      <w:r>
        <w:rPr>
          <w:b w:val="0"/>
          <w:sz w:val="22"/>
        </w:rPr>
        <w:t>n RAN</w:t>
      </w:r>
      <w:r w:rsidR="000A653B">
        <w:rPr>
          <w:b w:val="0"/>
          <w:sz w:val="22"/>
        </w:rPr>
        <w:t xml:space="preserve">1#113, the followings </w:t>
      </w:r>
      <w:r w:rsidR="00A55913">
        <w:rPr>
          <w:b w:val="0"/>
          <w:sz w:val="22"/>
        </w:rPr>
        <w:t xml:space="preserve">on L1 measurement reporting </w:t>
      </w:r>
      <w:r w:rsidR="000A653B">
        <w:rPr>
          <w:b w:val="0"/>
          <w:sz w:val="22"/>
        </w:rPr>
        <w:t xml:space="preserve">are agreed </w:t>
      </w:r>
      <w:r w:rsidR="00174106">
        <w:rPr>
          <w:b w:val="0"/>
          <w:sz w:val="22"/>
        </w:rPr>
        <w:t xml:space="preserve">and discussed </w:t>
      </w:r>
      <w:r w:rsidR="000A653B">
        <w:rPr>
          <w:b w:val="0"/>
          <w:sz w:val="22"/>
        </w:rPr>
        <w:t>as</w:t>
      </w:r>
      <w:r>
        <w:rPr>
          <w:b w:val="0"/>
          <w:sz w:val="22"/>
        </w:rPr>
        <w:t>:</w:t>
      </w:r>
    </w:p>
    <w:tbl>
      <w:tblPr>
        <w:tblStyle w:val="ad"/>
        <w:tblW w:w="0" w:type="auto"/>
        <w:tblLook w:val="04A0" w:firstRow="1" w:lastRow="0" w:firstColumn="1" w:lastColumn="0" w:noHBand="0" w:noVBand="1"/>
      </w:tblPr>
      <w:tblGrid>
        <w:gridCol w:w="9017"/>
      </w:tblGrid>
      <w:tr w:rsidR="00A821D3" w14:paraId="73B306ED" w14:textId="77777777" w:rsidTr="00A821D3">
        <w:tc>
          <w:tcPr>
            <w:tcW w:w="9017" w:type="dxa"/>
          </w:tcPr>
          <w:p w14:paraId="12E75628" w14:textId="77777777" w:rsidR="00A821D3" w:rsidRPr="00A821D3" w:rsidRDefault="00A821D3" w:rsidP="00A821D3">
            <w:pPr>
              <w:rPr>
                <w:rFonts w:ascii="Times" w:eastAsia="DengXian" w:hAnsi="Times" w:cs="Times New Roman"/>
                <w:sz w:val="20"/>
                <w:highlight w:val="darkYellow"/>
                <w:lang w:val="en-GB" w:eastAsia="zh-CN"/>
              </w:rPr>
            </w:pPr>
            <w:r w:rsidRPr="00A821D3">
              <w:rPr>
                <w:rFonts w:ascii="Times" w:eastAsia="DengXian" w:hAnsi="Times" w:cs="Times New Roman"/>
                <w:sz w:val="20"/>
                <w:highlight w:val="darkYellow"/>
                <w:lang w:val="en-GB" w:eastAsia="zh-CN"/>
              </w:rPr>
              <w:t>Working Assumption</w:t>
            </w:r>
          </w:p>
          <w:p w14:paraId="4FE0F7B9" w14:textId="77777777" w:rsidR="00A821D3" w:rsidRPr="00A821D3" w:rsidRDefault="00A821D3" w:rsidP="00A821D3">
            <w:pPr>
              <w:numPr>
                <w:ilvl w:val="0"/>
                <w:numId w:val="30"/>
              </w:numPr>
              <w:tabs>
                <w:tab w:val="left" w:pos="720"/>
              </w:tabs>
              <w:snapToGrid w:val="0"/>
              <w:spacing w:after="100" w:afterAutospacing="1"/>
              <w:ind w:left="720"/>
              <w:jc w:val="both"/>
              <w:rPr>
                <w:rFonts w:ascii="Calibri" w:eastAsia="SimSun" w:hAnsi="Calibri" w:cs="Times New Roman"/>
                <w:sz w:val="20"/>
                <w:lang w:val="en-GB" w:eastAsia="x-none"/>
              </w:rPr>
            </w:pPr>
            <w:r w:rsidRPr="00A821D3">
              <w:rPr>
                <w:rFonts w:ascii="Times" w:eastAsia="바탕" w:hAnsi="Times" w:cs="Times New Roman"/>
                <w:sz w:val="20"/>
                <w:lang w:val="en-GB" w:eastAsia="x-none"/>
              </w:rPr>
              <w:t>For the beam selection for SSB based L1-RSRP measurement report,</w:t>
            </w:r>
          </w:p>
          <w:p w14:paraId="048C6115" w14:textId="77777777" w:rsidR="00A821D3" w:rsidRPr="00A821D3" w:rsidRDefault="00A821D3" w:rsidP="00A821D3">
            <w:pPr>
              <w:numPr>
                <w:ilvl w:val="1"/>
                <w:numId w:val="30"/>
              </w:numPr>
              <w:tabs>
                <w:tab w:val="left" w:pos="720"/>
                <w:tab w:val="left" w:pos="1440"/>
              </w:tabs>
              <w:snapToGrid w:val="0"/>
              <w:spacing w:after="100" w:afterAutospacing="1"/>
              <w:ind w:left="1440"/>
              <w:jc w:val="both"/>
              <w:rPr>
                <w:rFonts w:ascii="Times" w:eastAsia="바탕" w:hAnsi="Times" w:cs="Times New Roman"/>
                <w:sz w:val="20"/>
                <w:lang w:val="en-GB" w:eastAsia="x-none"/>
              </w:rPr>
            </w:pPr>
            <w:r w:rsidRPr="00A821D3">
              <w:rPr>
                <w:rFonts w:ascii="Times" w:eastAsia="바탕" w:hAnsi="Times" w:cs="Times New Roman"/>
                <w:sz w:val="20"/>
                <w:lang w:val="en-GB" w:eastAsia="x-none"/>
              </w:rPr>
              <w:t xml:space="preserve">For the value of M, L </w:t>
            </w:r>
          </w:p>
          <w:p w14:paraId="1875132F" w14:textId="77777777" w:rsidR="00A821D3" w:rsidRPr="00A821D3" w:rsidRDefault="00A821D3" w:rsidP="00A821D3">
            <w:pPr>
              <w:numPr>
                <w:ilvl w:val="2"/>
                <w:numId w:val="30"/>
              </w:numPr>
              <w:tabs>
                <w:tab w:val="left" w:pos="720"/>
                <w:tab w:val="left" w:pos="2160"/>
              </w:tabs>
              <w:snapToGrid w:val="0"/>
              <w:spacing w:after="100" w:afterAutospacing="1"/>
              <w:ind w:left="2160"/>
              <w:jc w:val="both"/>
              <w:rPr>
                <w:rFonts w:ascii="Times" w:eastAsia="바탕" w:hAnsi="Times" w:cs="Times New Roman"/>
                <w:sz w:val="20"/>
                <w:lang w:val="en-GB" w:eastAsia="x-none"/>
              </w:rPr>
            </w:pPr>
            <w:r w:rsidRPr="00A821D3">
              <w:rPr>
                <w:rFonts w:ascii="Times" w:eastAsia="바탕" w:hAnsi="Times" w:cs="Times New Roman"/>
                <w:sz w:val="20"/>
                <w:lang w:val="en-GB" w:eastAsia="x-none"/>
              </w:rPr>
              <w:t xml:space="preserve">the RRC configured candidate values are: </w:t>
            </w:r>
          </w:p>
          <w:p w14:paraId="5E6DC086" w14:textId="77777777" w:rsidR="00A821D3" w:rsidRPr="00A821D3" w:rsidRDefault="00A821D3" w:rsidP="00A821D3">
            <w:pPr>
              <w:numPr>
                <w:ilvl w:val="3"/>
                <w:numId w:val="30"/>
              </w:numPr>
              <w:tabs>
                <w:tab w:val="left" w:pos="720"/>
                <w:tab w:val="left" w:pos="2880"/>
              </w:tabs>
              <w:snapToGrid w:val="0"/>
              <w:spacing w:after="100" w:afterAutospacing="1"/>
              <w:ind w:left="2880"/>
              <w:jc w:val="both"/>
              <w:rPr>
                <w:rFonts w:ascii="Times" w:eastAsia="바탕" w:hAnsi="Times" w:cs="Times New Roman"/>
                <w:sz w:val="20"/>
                <w:lang w:eastAsia="x-none"/>
              </w:rPr>
            </w:pPr>
            <w:r w:rsidRPr="00A821D3">
              <w:rPr>
                <w:rFonts w:ascii="Times" w:eastAsia="바탕" w:hAnsi="Times" w:cs="Times New Roman"/>
                <w:sz w:val="20"/>
                <w:lang w:eastAsia="x-none"/>
              </w:rPr>
              <w:t>M = 1, 2, 3, 4</w:t>
            </w:r>
          </w:p>
          <w:p w14:paraId="337FB557" w14:textId="77777777" w:rsidR="00A821D3" w:rsidRPr="00A821D3" w:rsidRDefault="00A821D3" w:rsidP="00A821D3">
            <w:pPr>
              <w:numPr>
                <w:ilvl w:val="3"/>
                <w:numId w:val="30"/>
              </w:numPr>
              <w:tabs>
                <w:tab w:val="left" w:pos="720"/>
                <w:tab w:val="left" w:pos="2160"/>
                <w:tab w:val="left" w:pos="2880"/>
              </w:tabs>
              <w:snapToGrid w:val="0"/>
              <w:spacing w:after="100" w:afterAutospacing="1"/>
              <w:ind w:left="2880"/>
              <w:jc w:val="both"/>
              <w:rPr>
                <w:rFonts w:ascii="Times" w:eastAsia="바탕" w:hAnsi="Times" w:cs="Times New Roman"/>
                <w:sz w:val="20"/>
                <w:lang w:eastAsia="x-none"/>
              </w:rPr>
            </w:pPr>
            <w:r w:rsidRPr="00A821D3">
              <w:rPr>
                <w:rFonts w:ascii="Times" w:eastAsia="바탕" w:hAnsi="Times" w:cs="Times New Roman"/>
                <w:sz w:val="20"/>
                <w:lang w:eastAsia="x-none"/>
              </w:rPr>
              <w:t>L = [1], 2, 3, 4</w:t>
            </w:r>
          </w:p>
          <w:p w14:paraId="455C8A38" w14:textId="77777777" w:rsidR="00A821D3" w:rsidRPr="00A821D3" w:rsidRDefault="00A821D3" w:rsidP="00A821D3">
            <w:pPr>
              <w:numPr>
                <w:ilvl w:val="2"/>
                <w:numId w:val="30"/>
              </w:numPr>
              <w:tabs>
                <w:tab w:val="left" w:pos="720"/>
                <w:tab w:val="left" w:pos="2160"/>
                <w:tab w:val="left" w:pos="2880"/>
              </w:tabs>
              <w:snapToGrid w:val="0"/>
              <w:ind w:left="2160"/>
              <w:jc w:val="both"/>
              <w:rPr>
                <w:rFonts w:ascii="Times" w:eastAsia="바탕" w:hAnsi="Times" w:cs="Times New Roman"/>
                <w:sz w:val="20"/>
                <w:lang w:eastAsia="x-none"/>
              </w:rPr>
            </w:pPr>
            <w:r w:rsidRPr="00A821D3">
              <w:rPr>
                <w:rFonts w:ascii="Times" w:eastAsia="바탕" w:hAnsi="Times" w:cs="Times New Roman"/>
                <w:sz w:val="20"/>
                <w:lang w:eastAsia="x-none"/>
              </w:rPr>
              <w:t>Note: the maximum value of M*L and combination of M and L is up to UE capability</w:t>
            </w:r>
          </w:p>
          <w:p w14:paraId="4DD75DC9" w14:textId="77777777" w:rsidR="00A821D3" w:rsidRPr="00A821D3" w:rsidRDefault="00A821D3" w:rsidP="00A821D3">
            <w:pPr>
              <w:rPr>
                <w:rFonts w:ascii="Times" w:eastAsia="바탕" w:hAnsi="Times" w:cs="Times New Roman"/>
                <w:sz w:val="20"/>
                <w:lang w:val="en-GB" w:eastAsia="x-none"/>
              </w:rPr>
            </w:pPr>
          </w:p>
          <w:p w14:paraId="6452163C" w14:textId="77777777" w:rsidR="00A821D3" w:rsidRPr="00A821D3" w:rsidRDefault="00A821D3" w:rsidP="00A821D3">
            <w:pPr>
              <w:rPr>
                <w:rFonts w:ascii="Times" w:eastAsia="DengXian" w:hAnsi="Times" w:cs="Times New Roman"/>
                <w:sz w:val="20"/>
                <w:highlight w:val="green"/>
                <w:lang w:val="en-GB" w:eastAsia="zh-CN"/>
              </w:rPr>
            </w:pPr>
            <w:r w:rsidRPr="00A821D3">
              <w:rPr>
                <w:rFonts w:ascii="Times" w:eastAsia="DengXian" w:hAnsi="Times" w:cs="Times New Roman" w:hint="eastAsia"/>
                <w:sz w:val="20"/>
                <w:highlight w:val="green"/>
                <w:lang w:val="en-GB" w:eastAsia="zh-CN"/>
              </w:rPr>
              <w:t>A</w:t>
            </w:r>
            <w:r w:rsidRPr="00A821D3">
              <w:rPr>
                <w:rFonts w:ascii="Times" w:eastAsia="DengXian" w:hAnsi="Times" w:cs="Times New Roman"/>
                <w:sz w:val="20"/>
                <w:highlight w:val="green"/>
                <w:lang w:val="en-GB" w:eastAsia="zh-CN"/>
              </w:rPr>
              <w:t>greement</w:t>
            </w:r>
          </w:p>
          <w:p w14:paraId="3C2BE346" w14:textId="77777777" w:rsidR="00A821D3" w:rsidRPr="00A821D3" w:rsidRDefault="00A821D3" w:rsidP="00A821D3">
            <w:pPr>
              <w:numPr>
                <w:ilvl w:val="0"/>
                <w:numId w:val="27"/>
              </w:numPr>
              <w:snapToGrid w:val="0"/>
              <w:jc w:val="both"/>
              <w:rPr>
                <w:rFonts w:ascii="Times" w:eastAsia="바탕" w:hAnsi="Times" w:cs="Times New Roman"/>
                <w:sz w:val="20"/>
                <w:lang w:val="en-GB" w:eastAsia="x-none"/>
              </w:rPr>
            </w:pPr>
            <w:r w:rsidRPr="00A821D3">
              <w:rPr>
                <w:rFonts w:ascii="Times" w:eastAsia="바탕" w:hAnsi="Times" w:cs="Times New Roman"/>
                <w:sz w:val="20"/>
                <w:lang w:val="en-GB" w:eastAsia="x-none"/>
              </w:rPr>
              <w:t>For the beam selection for SSB based L1-RSRP measurement report,</w:t>
            </w:r>
          </w:p>
          <w:p w14:paraId="7ABAC859" w14:textId="77777777" w:rsidR="00A821D3" w:rsidRPr="00A821D3" w:rsidRDefault="00A821D3" w:rsidP="00A821D3">
            <w:pPr>
              <w:numPr>
                <w:ilvl w:val="1"/>
                <w:numId w:val="27"/>
              </w:numPr>
              <w:tabs>
                <w:tab w:val="left" w:pos="360"/>
              </w:tabs>
              <w:snapToGrid w:val="0"/>
              <w:jc w:val="both"/>
              <w:rPr>
                <w:rFonts w:ascii="Times" w:eastAsia="바탕" w:hAnsi="Times" w:cs="Times New Roman"/>
                <w:sz w:val="20"/>
                <w:lang w:val="en-GB" w:eastAsia="x-none"/>
              </w:rPr>
            </w:pPr>
            <w:r w:rsidRPr="00A821D3">
              <w:rPr>
                <w:rFonts w:ascii="Times" w:eastAsia="바탕" w:hAnsi="Times" w:cs="Times New Roman"/>
                <w:sz w:val="20"/>
                <w:lang w:val="en-GB" w:eastAsia="x-none"/>
              </w:rPr>
              <w:t>The inclusion of current SpCell in the L1 measurement report is configurable.</w:t>
            </w:r>
          </w:p>
          <w:p w14:paraId="10B6C5A1" w14:textId="77777777" w:rsidR="00A821D3" w:rsidRDefault="00A821D3" w:rsidP="000A653B">
            <w:pPr>
              <w:numPr>
                <w:ilvl w:val="3"/>
                <w:numId w:val="30"/>
              </w:numPr>
              <w:snapToGrid w:val="0"/>
              <w:jc w:val="both"/>
              <w:rPr>
                <w:rFonts w:ascii="Times" w:eastAsia="바탕" w:hAnsi="Times" w:cs="Times New Roman"/>
                <w:sz w:val="20"/>
                <w:lang w:val="en-GB" w:eastAsia="x-none"/>
              </w:rPr>
            </w:pPr>
            <w:r w:rsidRPr="00A821D3">
              <w:rPr>
                <w:rFonts w:ascii="Times" w:eastAsia="바탕" w:hAnsi="Times" w:cs="Times New Roman"/>
                <w:sz w:val="20"/>
                <w:lang w:val="en-GB" w:eastAsia="x-none"/>
              </w:rPr>
              <w:t>new UE capability(ies) are introduced and details can be discussed in UE feature</w:t>
            </w:r>
          </w:p>
          <w:p w14:paraId="4EC86ACF" w14:textId="77777777" w:rsidR="00174106" w:rsidRDefault="00174106" w:rsidP="00174106">
            <w:pPr>
              <w:snapToGrid w:val="0"/>
              <w:jc w:val="both"/>
              <w:rPr>
                <w:rFonts w:ascii="Times" w:eastAsia="바탕" w:hAnsi="Times" w:cs="Times New Roman"/>
                <w:sz w:val="20"/>
                <w:lang w:val="en-GB" w:eastAsia="x-none"/>
              </w:rPr>
            </w:pPr>
          </w:p>
          <w:p w14:paraId="66291907" w14:textId="37C59FDE" w:rsidR="00174106" w:rsidRPr="00174106" w:rsidRDefault="00174106" w:rsidP="00174106">
            <w:pPr>
              <w:snapToGrid w:val="0"/>
              <w:jc w:val="both"/>
              <w:rPr>
                <w:rFonts w:ascii="Times" w:eastAsia="바탕" w:hAnsi="Times" w:cs="Times New Roman"/>
                <w:b/>
                <w:sz w:val="20"/>
                <w:lang w:val="en-GB"/>
              </w:rPr>
            </w:pPr>
            <w:r w:rsidRPr="00174106">
              <w:rPr>
                <w:rFonts w:ascii="Times" w:eastAsia="바탕" w:hAnsi="Times" w:cs="Times New Roman" w:hint="eastAsia"/>
                <w:b/>
                <w:sz w:val="20"/>
                <w:lang w:val="en-GB"/>
              </w:rPr>
              <w:t>FL summary in RAN1#113 in [2]</w:t>
            </w:r>
          </w:p>
          <w:p w14:paraId="36AF5573" w14:textId="77777777" w:rsidR="00174106" w:rsidRPr="00174106" w:rsidRDefault="00174106" w:rsidP="00174106">
            <w:pPr>
              <w:tabs>
                <w:tab w:val="left" w:pos="720"/>
              </w:tabs>
              <w:snapToGrid w:val="0"/>
              <w:jc w:val="both"/>
              <w:rPr>
                <w:rFonts w:ascii="Times New Roman" w:eastAsia="MS Gothic" w:hAnsi="Times New Roman" w:cs="Times New Roman"/>
                <w:sz w:val="20"/>
                <w:szCs w:val="20"/>
                <w:lang w:val="en-GB" w:eastAsia="ja-JP"/>
              </w:rPr>
            </w:pPr>
            <w:r w:rsidRPr="00174106">
              <w:rPr>
                <w:rFonts w:ascii="Times New Roman" w:eastAsia="MS Gothic" w:hAnsi="Times New Roman" w:cs="Times New Roman"/>
                <w:sz w:val="20"/>
                <w:szCs w:val="20"/>
                <w:lang w:val="en-GB" w:eastAsia="ja-JP"/>
              </w:rPr>
              <w:t xml:space="preserve">For the report of SSB based L1-RSRP, </w:t>
            </w:r>
          </w:p>
          <w:p w14:paraId="7F6DDFCC" w14:textId="77777777" w:rsidR="00174106" w:rsidRPr="00174106" w:rsidRDefault="00174106" w:rsidP="00174106">
            <w:pPr>
              <w:numPr>
                <w:ilvl w:val="1"/>
                <w:numId w:val="30"/>
              </w:numPr>
              <w:tabs>
                <w:tab w:val="left" w:pos="1440"/>
              </w:tabs>
              <w:snapToGrid w:val="0"/>
              <w:jc w:val="both"/>
              <w:rPr>
                <w:rFonts w:ascii="Times New Roman" w:eastAsia="MS Gothic" w:hAnsi="Times New Roman" w:cs="Times New Roman"/>
                <w:sz w:val="20"/>
                <w:szCs w:val="20"/>
                <w:lang w:val="en-GB" w:eastAsia="ja-JP"/>
              </w:rPr>
            </w:pPr>
            <w:r w:rsidRPr="00174106">
              <w:rPr>
                <w:rFonts w:ascii="Times New Roman" w:eastAsia="MS Gothic" w:hAnsi="Times New Roman" w:cs="Times New Roman"/>
                <w:bCs/>
                <w:sz w:val="20"/>
                <w:szCs w:val="20"/>
                <w:lang w:val="en-GB"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352F947D" w14:textId="77777777" w:rsidR="00174106" w:rsidRPr="00174106" w:rsidRDefault="00174106" w:rsidP="00174106">
            <w:pPr>
              <w:numPr>
                <w:ilvl w:val="1"/>
                <w:numId w:val="30"/>
              </w:numPr>
              <w:tabs>
                <w:tab w:val="left" w:pos="1440"/>
              </w:tabs>
              <w:snapToGrid w:val="0"/>
              <w:jc w:val="both"/>
              <w:rPr>
                <w:rFonts w:ascii="Times New Roman" w:eastAsia="MS Gothic" w:hAnsi="Times New Roman" w:cs="Times New Roman"/>
                <w:sz w:val="20"/>
                <w:szCs w:val="20"/>
                <w:lang w:val="en-GB" w:eastAsia="ja-JP"/>
              </w:rPr>
            </w:pPr>
            <w:r w:rsidRPr="00174106">
              <w:rPr>
                <w:rFonts w:ascii="Times New Roman" w:eastAsia="MS Gothic" w:hAnsi="Times New Roman" w:cs="Times New Roman"/>
                <w:bCs/>
                <w:sz w:val="20"/>
                <w:szCs w:val="20"/>
                <w:lang w:val="en-GB" w:eastAsia="zh-CN"/>
              </w:rPr>
              <w:t>The following option is down-selected in RAN1#114</w:t>
            </w:r>
          </w:p>
          <w:p w14:paraId="7D605127" w14:textId="77777777" w:rsidR="00174106" w:rsidRPr="00174106" w:rsidRDefault="00174106" w:rsidP="00174106">
            <w:pPr>
              <w:numPr>
                <w:ilvl w:val="2"/>
                <w:numId w:val="30"/>
              </w:numPr>
              <w:tabs>
                <w:tab w:val="left" w:pos="2160"/>
              </w:tabs>
              <w:snapToGrid w:val="0"/>
              <w:jc w:val="both"/>
              <w:rPr>
                <w:rFonts w:ascii="Times New Roman" w:eastAsia="MS Gothic" w:hAnsi="Times New Roman" w:cs="Times New Roman"/>
                <w:sz w:val="20"/>
                <w:szCs w:val="20"/>
                <w:lang w:val="en-GB" w:eastAsia="ja-JP"/>
              </w:rPr>
            </w:pPr>
            <w:r w:rsidRPr="00174106">
              <w:rPr>
                <w:rFonts w:ascii="Times New Roman" w:eastAsia="MS Gothic" w:hAnsi="Times New Roman" w:cs="Times New Roman"/>
                <w:sz w:val="20"/>
                <w:szCs w:val="20"/>
                <w:lang w:val="en-GB" w:eastAsia="ja-JP"/>
              </w:rPr>
              <w:t>Option A: Differential encoding is performed per cell, i.e. for each cell, a beam to apply absolute L1-RSRP is chosen among M beams and the differential L1-RSRP is applied to M-1 beams</w:t>
            </w:r>
          </w:p>
          <w:p w14:paraId="73164BE3" w14:textId="77777777" w:rsidR="00174106" w:rsidRPr="00174106" w:rsidRDefault="00174106" w:rsidP="00174106">
            <w:pPr>
              <w:numPr>
                <w:ilvl w:val="2"/>
                <w:numId w:val="30"/>
              </w:numPr>
              <w:tabs>
                <w:tab w:val="left" w:pos="2160"/>
              </w:tabs>
              <w:snapToGrid w:val="0"/>
              <w:jc w:val="both"/>
              <w:rPr>
                <w:rFonts w:ascii="Times New Roman" w:eastAsia="MS Gothic" w:hAnsi="Times New Roman" w:cs="Times New Roman"/>
                <w:sz w:val="20"/>
                <w:szCs w:val="20"/>
                <w:lang w:val="en-GB" w:eastAsia="ja-JP"/>
              </w:rPr>
            </w:pPr>
            <w:r w:rsidRPr="00174106">
              <w:rPr>
                <w:rFonts w:ascii="Times New Roman" w:eastAsia="MS Gothic" w:hAnsi="Times New Roman" w:cs="Times New Roman"/>
                <w:sz w:val="20"/>
                <w:szCs w:val="20"/>
                <w:lang w:val="en-GB" w:eastAsia="ja-JP"/>
              </w:rPr>
              <w:t>Option B: a beam to apply absolute L1-RSRP is chosen among M *L beams and the differential L1-RSRP is applied to M*L-1 beams</w:t>
            </w:r>
          </w:p>
          <w:p w14:paraId="396A3415" w14:textId="77777777" w:rsidR="00174106" w:rsidRPr="00174106" w:rsidRDefault="00174106" w:rsidP="00174106">
            <w:pPr>
              <w:numPr>
                <w:ilvl w:val="2"/>
                <w:numId w:val="30"/>
              </w:numPr>
              <w:tabs>
                <w:tab w:val="left" w:pos="2160"/>
              </w:tabs>
              <w:snapToGrid w:val="0"/>
              <w:jc w:val="both"/>
              <w:rPr>
                <w:rFonts w:ascii="Times New Roman" w:eastAsia="MS Gothic" w:hAnsi="Times New Roman" w:cs="Times New Roman"/>
                <w:sz w:val="20"/>
                <w:szCs w:val="20"/>
                <w:lang w:val="en-GB" w:eastAsia="ja-JP"/>
              </w:rPr>
            </w:pPr>
            <w:r w:rsidRPr="00174106">
              <w:rPr>
                <w:rFonts w:ascii="Times New Roman" w:eastAsia="MS Gothic" w:hAnsi="Times New Roman" w:cs="Times New Roman"/>
                <w:sz w:val="20"/>
                <w:szCs w:val="20"/>
                <w:lang w:val="en-GB" w:eastAsia="ja-JP"/>
              </w:rPr>
              <w:t xml:space="preserve">Option C:  Take the following 2-step approach </w:t>
            </w:r>
          </w:p>
          <w:p w14:paraId="3A5CE3C5" w14:textId="77777777" w:rsidR="00174106" w:rsidRPr="00174106" w:rsidRDefault="00174106" w:rsidP="00174106">
            <w:pPr>
              <w:numPr>
                <w:ilvl w:val="3"/>
                <w:numId w:val="30"/>
              </w:numPr>
              <w:tabs>
                <w:tab w:val="left" w:pos="2880"/>
              </w:tabs>
              <w:snapToGrid w:val="0"/>
              <w:jc w:val="both"/>
              <w:rPr>
                <w:rFonts w:ascii="Times New Roman" w:eastAsia="MS Gothic" w:hAnsi="Times New Roman" w:cs="Times New Roman"/>
                <w:sz w:val="20"/>
                <w:szCs w:val="20"/>
                <w:lang w:val="en-GB" w:eastAsia="ja-JP"/>
              </w:rPr>
            </w:pPr>
            <w:r w:rsidRPr="00174106">
              <w:rPr>
                <w:rFonts w:ascii="Times New Roman" w:eastAsia="MS Gothic" w:hAnsi="Times New Roman" w:cs="Times New Roman"/>
                <w:sz w:val="20"/>
                <w:szCs w:val="20"/>
                <w:lang w:val="en-GB" w:eastAsia="ja-JP"/>
              </w:rPr>
              <w:t>Step one: Differential encoding is performed per cell, i.e. for each cell, a beam to apply absolute L1-RSRP is chosen among M beams and the differential L1-RSRP is applied to M-1 beams.</w:t>
            </w:r>
          </w:p>
          <w:p w14:paraId="6C1EC687" w14:textId="49BBEE67" w:rsidR="00174106" w:rsidRPr="00174106" w:rsidRDefault="00174106" w:rsidP="00174106">
            <w:pPr>
              <w:numPr>
                <w:ilvl w:val="3"/>
                <w:numId w:val="30"/>
              </w:numPr>
              <w:tabs>
                <w:tab w:val="left" w:pos="2160"/>
                <w:tab w:val="left" w:pos="2880"/>
              </w:tabs>
              <w:snapToGrid w:val="0"/>
              <w:jc w:val="both"/>
              <w:rPr>
                <w:rFonts w:ascii="Times New Roman" w:eastAsia="MS Gothic" w:hAnsi="Times New Roman" w:cs="Times New Roman"/>
                <w:sz w:val="20"/>
                <w:szCs w:val="20"/>
                <w:lang w:val="en-GB" w:eastAsia="ja-JP"/>
              </w:rPr>
            </w:pPr>
            <w:r w:rsidRPr="00174106">
              <w:rPr>
                <w:rFonts w:ascii="Times New Roman" w:eastAsia="MS Gothic" w:hAnsi="Times New Roman" w:cs="Times New Roman"/>
                <w:sz w:val="20"/>
                <w:szCs w:val="20"/>
                <w:lang w:val="en-GB" w:eastAsia="ja-JP"/>
              </w:rPr>
              <w:t>Step two: a beam to apply absolute L1-RSRP is chosen among L beams applying absolute L1-RSRP in step one and the differential L1-RSRP is applied to L-1 beams.</w:t>
            </w:r>
          </w:p>
        </w:tc>
      </w:tr>
    </w:tbl>
    <w:p w14:paraId="76C2B070" w14:textId="2C5B0DC2" w:rsidR="004A6C42" w:rsidRDefault="000A653B" w:rsidP="00A55913">
      <w:pPr>
        <w:pStyle w:val="LGTdoc1"/>
        <w:snapToGrid/>
        <w:spacing w:beforeLines="0" w:before="100" w:beforeAutospacing="1" w:after="0" w:afterAutospacing="0" w:line="360" w:lineRule="auto"/>
        <w:ind w:firstLineChars="150" w:firstLine="330"/>
        <w:contextualSpacing/>
        <w:rPr>
          <w:b w:val="0"/>
          <w:sz w:val="22"/>
        </w:rPr>
      </w:pPr>
      <w:r>
        <w:rPr>
          <w:b w:val="0"/>
          <w:sz w:val="22"/>
        </w:rPr>
        <w:lastRenderedPageBreak/>
        <w:t>R</w:t>
      </w:r>
      <w:r w:rsidR="0004227F">
        <w:rPr>
          <w:b w:val="0"/>
          <w:sz w:val="22"/>
        </w:rPr>
        <w:t>egarding gNB scheduled L1 measurement report for Rel-18 LTM, semi-persistent/aperiodic reporting on PUSCH</w:t>
      </w:r>
      <w:r w:rsidR="00F01DB4">
        <w:rPr>
          <w:b w:val="0"/>
          <w:sz w:val="22"/>
        </w:rPr>
        <w:t xml:space="preserve"> were</w:t>
      </w:r>
      <w:r w:rsidR="0004227F">
        <w:rPr>
          <w:b w:val="0"/>
          <w:sz w:val="22"/>
        </w:rPr>
        <w:t xml:space="preserve"> agreed in RAN1#110bis-e and </w:t>
      </w:r>
      <w:r w:rsidR="00F01DB4">
        <w:rPr>
          <w:b w:val="0"/>
          <w:sz w:val="22"/>
        </w:rPr>
        <w:t xml:space="preserve">periodic/semi-persistent reporting on PUCCH are </w:t>
      </w:r>
      <w:r w:rsidR="009B113D">
        <w:rPr>
          <w:b w:val="0"/>
          <w:sz w:val="22"/>
        </w:rPr>
        <w:t xml:space="preserve">also agreed in </w:t>
      </w:r>
      <w:r>
        <w:rPr>
          <w:b w:val="0"/>
          <w:sz w:val="22"/>
        </w:rPr>
        <w:t>RAN1#112bis-e</w:t>
      </w:r>
      <w:r w:rsidR="00F01DB4">
        <w:rPr>
          <w:b w:val="0"/>
          <w:sz w:val="22"/>
        </w:rPr>
        <w:t>.</w:t>
      </w:r>
      <w:r w:rsidR="00A55913">
        <w:rPr>
          <w:b w:val="0"/>
          <w:sz w:val="22"/>
        </w:rPr>
        <w:t xml:space="preserve"> </w:t>
      </w:r>
      <w:r w:rsidR="004A6C42">
        <w:rPr>
          <w:b w:val="0"/>
          <w:sz w:val="22"/>
        </w:rPr>
        <w:t xml:space="preserve">On </w:t>
      </w:r>
      <w:r w:rsidR="001A1D46">
        <w:rPr>
          <w:b w:val="0"/>
          <w:sz w:val="22"/>
        </w:rPr>
        <w:t xml:space="preserve">the </w:t>
      </w:r>
      <w:r w:rsidR="00E72A6A">
        <w:rPr>
          <w:b w:val="0"/>
          <w:sz w:val="22"/>
        </w:rPr>
        <w:t xml:space="preserve">measurement </w:t>
      </w:r>
      <w:r w:rsidR="001A1D46">
        <w:rPr>
          <w:b w:val="0"/>
          <w:sz w:val="22"/>
        </w:rPr>
        <w:t xml:space="preserve">reporting </w:t>
      </w:r>
      <w:r w:rsidR="00E72A6A">
        <w:rPr>
          <w:b w:val="0"/>
          <w:sz w:val="22"/>
        </w:rPr>
        <w:t>mechanism</w:t>
      </w:r>
      <w:r w:rsidR="001A1D46">
        <w:rPr>
          <w:b w:val="0"/>
          <w:sz w:val="22"/>
        </w:rPr>
        <w:t xml:space="preserve">, the measurement can also be reported with L2 signalling (i.e. MAC-CE) not only with L1 signalling (i.e. UCI). </w:t>
      </w:r>
      <w:r>
        <w:rPr>
          <w:b w:val="0"/>
          <w:sz w:val="22"/>
        </w:rPr>
        <w:t xml:space="preserve">Especially, when </w:t>
      </w:r>
      <w:r w:rsidR="00C91E6A">
        <w:rPr>
          <w:b w:val="0"/>
          <w:sz w:val="22"/>
        </w:rPr>
        <w:t>the report for serving cell and candidate cell(s) for intra-frequency and inter-frequency can be included in a single report instance</w:t>
      </w:r>
      <w:r>
        <w:rPr>
          <w:b w:val="0"/>
          <w:sz w:val="22"/>
        </w:rPr>
        <w:t xml:space="preserve">, </w:t>
      </w:r>
      <w:r w:rsidR="00C91E6A">
        <w:rPr>
          <w:b w:val="0"/>
          <w:sz w:val="22"/>
        </w:rPr>
        <w:t xml:space="preserve">MAC-CE based reporting can be required for the large amount of reporting size. </w:t>
      </w:r>
    </w:p>
    <w:p w14:paraId="433F3FF2" w14:textId="6FE817D0" w:rsidR="00BB0DED" w:rsidRDefault="004B46F6" w:rsidP="00903007">
      <w:pPr>
        <w:pStyle w:val="LGTdoc1"/>
        <w:snapToGrid/>
        <w:spacing w:beforeLines="0" w:before="100" w:beforeAutospacing="1" w:after="0" w:afterAutospacing="0" w:line="360" w:lineRule="auto"/>
        <w:ind w:firstLineChars="100" w:firstLine="220"/>
        <w:contextualSpacing/>
        <w:rPr>
          <w:b w:val="0"/>
          <w:sz w:val="22"/>
        </w:rPr>
      </w:pPr>
      <w:r>
        <w:rPr>
          <w:b w:val="0"/>
          <w:sz w:val="22"/>
        </w:rPr>
        <w:t>R</w:t>
      </w:r>
      <w:r w:rsidR="007F62AB">
        <w:rPr>
          <w:b w:val="0"/>
          <w:sz w:val="22"/>
        </w:rPr>
        <w:t xml:space="preserve">egarding </w:t>
      </w:r>
      <w:r w:rsidR="000A653B">
        <w:rPr>
          <w:b w:val="0"/>
          <w:sz w:val="22"/>
        </w:rPr>
        <w:t xml:space="preserve">the working assumption on </w:t>
      </w:r>
      <w:r w:rsidR="007F62AB">
        <w:rPr>
          <w:b w:val="0"/>
          <w:sz w:val="22"/>
        </w:rPr>
        <w:t xml:space="preserve">the maximum number of the measurements </w:t>
      </w:r>
      <w:r w:rsidR="007377EA">
        <w:rPr>
          <w:b w:val="0"/>
          <w:sz w:val="22"/>
        </w:rPr>
        <w:t>and the reporting format</w:t>
      </w:r>
      <w:r w:rsidR="004A6C42">
        <w:rPr>
          <w:b w:val="0"/>
          <w:sz w:val="22"/>
        </w:rPr>
        <w:t xml:space="preserve"> as the above</w:t>
      </w:r>
      <w:r w:rsidR="007F62AB">
        <w:rPr>
          <w:b w:val="0"/>
          <w:sz w:val="22"/>
        </w:rPr>
        <w:t xml:space="preserve">, it seems reasonable </w:t>
      </w:r>
      <w:r w:rsidR="007377EA">
        <w:rPr>
          <w:b w:val="0"/>
          <w:sz w:val="22"/>
        </w:rPr>
        <w:t>to reuse Rel-17 ICBM reporting format</w:t>
      </w:r>
      <w:r w:rsidR="004A6C42">
        <w:rPr>
          <w:b w:val="0"/>
          <w:sz w:val="22"/>
        </w:rPr>
        <w:t xml:space="preserve"> and the quantization method where 7-bit absolute value and 4-bit differential value for </w:t>
      </w:r>
      <w:r w:rsidR="006A4431">
        <w:rPr>
          <w:b w:val="0"/>
          <w:sz w:val="22"/>
        </w:rPr>
        <w:t>L1-RSRP reporting</w:t>
      </w:r>
      <w:r w:rsidR="007377EA">
        <w:rPr>
          <w:b w:val="0"/>
          <w:sz w:val="22"/>
        </w:rPr>
        <w:t xml:space="preserve"> for Rel-18 LTM considering intra- and inter-frequency measurement since the reporting index of configured RS can be decided based on the RS index and its PCI as the same way in Rel-17</w:t>
      </w:r>
      <w:r w:rsidR="006A4431">
        <w:rPr>
          <w:b w:val="0"/>
          <w:sz w:val="22"/>
        </w:rPr>
        <w:t xml:space="preserve"> and the quantization method still supports intra-/inter-frequency because the 4-bit differential RSRP covers up to 30 dB RSRP difference</w:t>
      </w:r>
      <w:r w:rsidR="00AE5753">
        <w:rPr>
          <w:b w:val="0"/>
          <w:sz w:val="22"/>
        </w:rPr>
        <w:t xml:space="preserve"> Among the options on the quantization, Option-B aligns the approach as mentioned above</w:t>
      </w:r>
      <w:r w:rsidR="006A4431">
        <w:rPr>
          <w:b w:val="0"/>
          <w:sz w:val="22"/>
        </w:rPr>
        <w:t>.</w:t>
      </w:r>
      <w:r w:rsidR="00AE5753">
        <w:rPr>
          <w:b w:val="0"/>
          <w:sz w:val="22"/>
        </w:rPr>
        <w:t xml:space="preserve"> </w:t>
      </w:r>
      <w:r>
        <w:rPr>
          <w:b w:val="0"/>
          <w:sz w:val="22"/>
        </w:rPr>
        <w:t>On the max number of reported measurements</w:t>
      </w:r>
      <w:r w:rsidR="00886F44">
        <w:rPr>
          <w:b w:val="0"/>
          <w:sz w:val="22"/>
        </w:rPr>
        <w:t>, it needs to be extended with</w:t>
      </w:r>
      <w:r>
        <w:rPr>
          <w:b w:val="0"/>
          <w:sz w:val="22"/>
        </w:rPr>
        <w:t xml:space="preserve"> larger than 4 since the current value 4 is decided </w:t>
      </w:r>
      <w:r w:rsidR="00886F44">
        <w:rPr>
          <w:b w:val="0"/>
          <w:sz w:val="22"/>
        </w:rPr>
        <w:t xml:space="preserve">only </w:t>
      </w:r>
      <w:r>
        <w:rPr>
          <w:b w:val="0"/>
          <w:sz w:val="22"/>
        </w:rPr>
        <w:t>for intra-frequency case</w:t>
      </w:r>
      <w:r w:rsidR="00886F44">
        <w:rPr>
          <w:b w:val="0"/>
          <w:sz w:val="22"/>
        </w:rPr>
        <w:t>.</w:t>
      </w:r>
      <w:r w:rsidR="001E4FF5">
        <w:rPr>
          <w:b w:val="0"/>
          <w:sz w:val="22"/>
        </w:rPr>
        <w:t xml:space="preserve"> Accordingly, the benefit</w:t>
      </w:r>
      <w:r w:rsidR="00FC2FC1">
        <w:rPr>
          <w:b w:val="0"/>
          <w:sz w:val="22"/>
        </w:rPr>
        <w:t xml:space="preserve"> of</w:t>
      </w:r>
      <w:r w:rsidR="00FC2FC1" w:rsidRPr="00FC2FC1">
        <w:rPr>
          <w:b w:val="0"/>
          <w:sz w:val="22"/>
        </w:rPr>
        <w:t xml:space="preserve"> </w:t>
      </w:r>
      <w:r w:rsidR="00FC2FC1">
        <w:rPr>
          <w:b w:val="0"/>
          <w:sz w:val="22"/>
        </w:rPr>
        <w:t>reporting less than M x L beams</w:t>
      </w:r>
      <w:r w:rsidR="001E4FF5">
        <w:rPr>
          <w:b w:val="0"/>
          <w:sz w:val="22"/>
        </w:rPr>
        <w:t xml:space="preserve"> is unclear and </w:t>
      </w:r>
      <w:r w:rsidR="00FC2FC1">
        <w:rPr>
          <w:b w:val="0"/>
          <w:sz w:val="22"/>
        </w:rPr>
        <w:t xml:space="preserve">it </w:t>
      </w:r>
      <w:r w:rsidR="001E4FF5">
        <w:rPr>
          <w:b w:val="0"/>
          <w:sz w:val="22"/>
        </w:rPr>
        <w:t>seem</w:t>
      </w:r>
      <w:r w:rsidR="00FC2FC1">
        <w:rPr>
          <w:b w:val="0"/>
          <w:sz w:val="22"/>
        </w:rPr>
        <w:t>s</w:t>
      </w:r>
      <w:r w:rsidR="001E4FF5">
        <w:rPr>
          <w:b w:val="0"/>
          <w:sz w:val="22"/>
        </w:rPr>
        <w:t xml:space="preserve"> just optimization since the max numbers of M and L are based on UE capability and the corresponding combination for M and L is guaranteed to meet the requirement at least M x </w:t>
      </w:r>
      <w:r w:rsidR="00A705AB">
        <w:rPr>
          <w:b w:val="0"/>
          <w:sz w:val="22"/>
        </w:rPr>
        <w:t>L</w:t>
      </w:r>
      <w:r w:rsidR="001E4FF5">
        <w:rPr>
          <w:b w:val="0"/>
          <w:sz w:val="22"/>
        </w:rPr>
        <w:t>=4 as legacy.</w:t>
      </w:r>
      <w:r w:rsidR="004A6C42">
        <w:rPr>
          <w:b w:val="0"/>
          <w:sz w:val="22"/>
        </w:rPr>
        <w:t xml:space="preserve"> Also for the configurability on L cell selection, it should be aligned with the Rel-17 ICBM reporting mechanism that it allows UE to report the measurement by mixing the serving cell and candidate cells and there is no restriction at least one measurement is from the serving cell</w:t>
      </w:r>
      <w:r w:rsidR="006A4431">
        <w:rPr>
          <w:b w:val="0"/>
          <w:sz w:val="22"/>
        </w:rPr>
        <w:t xml:space="preserve">. While the </w:t>
      </w:r>
      <w:r w:rsidR="006A4431">
        <w:rPr>
          <w:b w:val="0"/>
          <w:sz w:val="22"/>
        </w:rPr>
        <w:lastRenderedPageBreak/>
        <w:t xml:space="preserve">similar issue was discussed in Rel-17 multi-beam, </w:t>
      </w:r>
      <w:r w:rsidR="001A1D46">
        <w:rPr>
          <w:b w:val="0"/>
          <w:sz w:val="22"/>
        </w:rPr>
        <w:t xml:space="preserve">there was a clear common understanding that </w:t>
      </w:r>
      <w:r w:rsidR="006A4431">
        <w:rPr>
          <w:b w:val="0"/>
          <w:sz w:val="22"/>
        </w:rPr>
        <w:t>performing beam selection in the beam report could be based on measured RSRP values.</w:t>
      </w:r>
    </w:p>
    <w:p w14:paraId="0F102C81" w14:textId="77777777" w:rsidR="007F62AB" w:rsidRDefault="007F62AB" w:rsidP="007F62AB">
      <w:pPr>
        <w:pStyle w:val="LGTdoc1"/>
        <w:snapToGrid/>
        <w:spacing w:beforeLines="0" w:before="100" w:beforeAutospacing="1" w:after="0" w:afterAutospacing="0" w:line="360" w:lineRule="auto"/>
        <w:contextualSpacing/>
        <w:rPr>
          <w:b w:val="0"/>
          <w:sz w:val="22"/>
        </w:rPr>
      </w:pPr>
    </w:p>
    <w:p w14:paraId="42B44282" w14:textId="35E67B74" w:rsidR="007F62AB" w:rsidRDefault="007F62AB" w:rsidP="007F62AB">
      <w:pPr>
        <w:pStyle w:val="LGTdoc1"/>
        <w:snapToGrid/>
        <w:spacing w:line="360" w:lineRule="auto"/>
        <w:contextualSpacing/>
        <w:rPr>
          <w:sz w:val="22"/>
        </w:rPr>
      </w:pPr>
      <w:r>
        <w:rPr>
          <w:sz w:val="22"/>
        </w:rPr>
        <w:t>Proposal #</w:t>
      </w:r>
      <w:r w:rsidR="000A653B">
        <w:rPr>
          <w:sz w:val="22"/>
        </w:rPr>
        <w:t>1</w:t>
      </w:r>
      <w:r>
        <w:rPr>
          <w:sz w:val="22"/>
        </w:rPr>
        <w:t xml:space="preserve">: </w:t>
      </w:r>
      <w:r w:rsidR="001E4FF5">
        <w:rPr>
          <w:sz w:val="22"/>
        </w:rPr>
        <w:t xml:space="preserve">Consider </w:t>
      </w:r>
      <w:r w:rsidR="00B7136D">
        <w:rPr>
          <w:sz w:val="22"/>
        </w:rPr>
        <w:t xml:space="preserve">at least </w:t>
      </w:r>
      <w:r w:rsidR="001E4FF5">
        <w:rPr>
          <w:sz w:val="22"/>
        </w:rPr>
        <w:t xml:space="preserve">gNB scheduled </w:t>
      </w:r>
      <w:r>
        <w:rPr>
          <w:sz w:val="22"/>
        </w:rPr>
        <w:t xml:space="preserve">measurement reporting </w:t>
      </w:r>
      <w:r w:rsidR="004B4E87">
        <w:rPr>
          <w:sz w:val="22"/>
        </w:rPr>
        <w:t xml:space="preserve">via </w:t>
      </w:r>
      <w:r w:rsidR="001E4FF5">
        <w:rPr>
          <w:sz w:val="22"/>
        </w:rPr>
        <w:t>MAC-CE.</w:t>
      </w:r>
    </w:p>
    <w:p w14:paraId="78D5219E" w14:textId="661AD267" w:rsidR="007F62AB" w:rsidRDefault="007377EA" w:rsidP="007377EA">
      <w:pPr>
        <w:pStyle w:val="LGTdoc1"/>
        <w:snapToGrid/>
        <w:spacing w:beforeLines="0" w:before="100" w:beforeAutospacing="1" w:after="0" w:afterAutospacing="0" w:line="360" w:lineRule="auto"/>
        <w:contextualSpacing/>
        <w:rPr>
          <w:sz w:val="22"/>
        </w:rPr>
      </w:pPr>
      <w:r>
        <w:rPr>
          <w:sz w:val="22"/>
        </w:rPr>
        <w:t>Proposal #</w:t>
      </w:r>
      <w:r w:rsidR="003234E1">
        <w:rPr>
          <w:sz w:val="22"/>
        </w:rPr>
        <w:t>2</w:t>
      </w:r>
      <w:r>
        <w:rPr>
          <w:sz w:val="22"/>
        </w:rPr>
        <w:t>: Support to reuse the reporting format</w:t>
      </w:r>
      <w:r w:rsidR="004A6C42">
        <w:rPr>
          <w:sz w:val="22"/>
        </w:rPr>
        <w:t xml:space="preserve"> and quantization</w:t>
      </w:r>
      <w:r>
        <w:rPr>
          <w:sz w:val="22"/>
        </w:rPr>
        <w:t xml:space="preserve"> in Rel-17 ICBM for Rel-18 LTM</w:t>
      </w:r>
    </w:p>
    <w:p w14:paraId="12566092" w14:textId="2E8D66D3" w:rsidR="00C26FD1" w:rsidRDefault="00C26FD1" w:rsidP="00886F44">
      <w:pPr>
        <w:pStyle w:val="LGTdoc1"/>
        <w:numPr>
          <w:ilvl w:val="0"/>
          <w:numId w:val="16"/>
        </w:numPr>
        <w:snapToGrid/>
        <w:spacing w:line="360" w:lineRule="auto"/>
        <w:contextualSpacing/>
        <w:rPr>
          <w:sz w:val="22"/>
        </w:rPr>
      </w:pPr>
      <w:r>
        <w:rPr>
          <w:rFonts w:hint="eastAsia"/>
          <w:sz w:val="22"/>
        </w:rPr>
        <w:t xml:space="preserve">Option-B </w:t>
      </w:r>
      <w:r>
        <w:rPr>
          <w:sz w:val="22"/>
        </w:rPr>
        <w:t xml:space="preserve">in [2] </w:t>
      </w:r>
      <w:r>
        <w:rPr>
          <w:rFonts w:hint="eastAsia"/>
          <w:sz w:val="22"/>
        </w:rPr>
        <w:t>for quantizat</w:t>
      </w:r>
      <w:r>
        <w:rPr>
          <w:sz w:val="22"/>
        </w:rPr>
        <w:t>i</w:t>
      </w:r>
      <w:r>
        <w:rPr>
          <w:rFonts w:hint="eastAsia"/>
          <w:sz w:val="22"/>
        </w:rPr>
        <w:t>on</w:t>
      </w:r>
      <w:r>
        <w:rPr>
          <w:sz w:val="22"/>
        </w:rPr>
        <w:t xml:space="preserve"> method</w:t>
      </w:r>
    </w:p>
    <w:p w14:paraId="67974821" w14:textId="7778B07E" w:rsidR="007377EA" w:rsidRDefault="007377EA" w:rsidP="00886F44">
      <w:pPr>
        <w:pStyle w:val="LGTdoc1"/>
        <w:numPr>
          <w:ilvl w:val="0"/>
          <w:numId w:val="16"/>
        </w:numPr>
        <w:snapToGrid/>
        <w:spacing w:line="360" w:lineRule="auto"/>
        <w:contextualSpacing/>
        <w:rPr>
          <w:sz w:val="22"/>
        </w:rPr>
      </w:pPr>
      <w:r>
        <w:rPr>
          <w:sz w:val="22"/>
        </w:rPr>
        <w:t xml:space="preserve">Consider </w:t>
      </w:r>
      <w:r w:rsidR="004B46F6">
        <w:rPr>
          <w:sz w:val="22"/>
        </w:rPr>
        <w:t xml:space="preserve">the larger value </w:t>
      </w:r>
      <w:r w:rsidR="00903007">
        <w:rPr>
          <w:rFonts w:hint="eastAsia"/>
          <w:sz w:val="22"/>
        </w:rPr>
        <w:t xml:space="preserve">for </w:t>
      </w:r>
      <w:r w:rsidR="004B46F6">
        <w:rPr>
          <w:sz w:val="22"/>
        </w:rPr>
        <w:t xml:space="preserve">the max number of reported measurements </w:t>
      </w:r>
      <w:r w:rsidR="00903007">
        <w:rPr>
          <w:sz w:val="22"/>
        </w:rPr>
        <w:t xml:space="preserve">than legacy value, i.e., 4, </w:t>
      </w:r>
      <w:r w:rsidR="004B46F6">
        <w:rPr>
          <w:sz w:val="22"/>
        </w:rPr>
        <w:t>for inter-frequency measurement</w:t>
      </w:r>
    </w:p>
    <w:p w14:paraId="6C17C875" w14:textId="677225EA" w:rsidR="004A6C42" w:rsidRDefault="004A6C42" w:rsidP="001A1D46">
      <w:pPr>
        <w:pStyle w:val="LGTdoc1"/>
        <w:numPr>
          <w:ilvl w:val="1"/>
          <w:numId w:val="16"/>
        </w:numPr>
        <w:snapToGrid/>
        <w:spacing w:line="360" w:lineRule="auto"/>
        <w:contextualSpacing/>
        <w:rPr>
          <w:sz w:val="22"/>
        </w:rPr>
      </w:pPr>
      <w:r>
        <w:rPr>
          <w:sz w:val="22"/>
        </w:rPr>
        <w:t>Not consider that a UE is allowed to report less than M x L beams</w:t>
      </w:r>
    </w:p>
    <w:p w14:paraId="21257420" w14:textId="463A5C1A" w:rsidR="004A6C42" w:rsidRPr="00886F44" w:rsidRDefault="001A1D46" w:rsidP="00886F44">
      <w:pPr>
        <w:pStyle w:val="LGTdoc1"/>
        <w:numPr>
          <w:ilvl w:val="0"/>
          <w:numId w:val="16"/>
        </w:numPr>
        <w:snapToGrid/>
        <w:spacing w:line="360" w:lineRule="auto"/>
        <w:contextualSpacing/>
        <w:rPr>
          <w:sz w:val="22"/>
        </w:rPr>
      </w:pPr>
      <w:r>
        <w:rPr>
          <w:rFonts w:hint="eastAsia"/>
          <w:sz w:val="22"/>
        </w:rPr>
        <w:t xml:space="preserve">Not consider the configurability </w:t>
      </w:r>
      <w:r w:rsidR="00561B51">
        <w:rPr>
          <w:sz w:val="22"/>
        </w:rPr>
        <w:t>on</w:t>
      </w:r>
      <w:r>
        <w:rPr>
          <w:sz w:val="22"/>
        </w:rPr>
        <w:t xml:space="preserve"> the serving cell and/or inter-frequency cell</w:t>
      </w:r>
      <w:r w:rsidR="00561B51">
        <w:rPr>
          <w:sz w:val="22"/>
        </w:rPr>
        <w:t xml:space="preserve"> for</w:t>
      </w:r>
      <w:r w:rsidR="00561B51">
        <w:rPr>
          <w:rFonts w:hint="eastAsia"/>
          <w:sz w:val="22"/>
        </w:rPr>
        <w:t xml:space="preserve"> L cell</w:t>
      </w:r>
      <w:r w:rsidR="00561B51">
        <w:rPr>
          <w:sz w:val="22"/>
        </w:rPr>
        <w:t xml:space="preserve"> selection</w:t>
      </w:r>
    </w:p>
    <w:p w14:paraId="21AF3FB7" w14:textId="77777777" w:rsidR="004B46F6" w:rsidRDefault="004B46F6" w:rsidP="004F658D">
      <w:pPr>
        <w:pStyle w:val="LGTdoc1"/>
        <w:snapToGrid/>
        <w:spacing w:beforeLines="0" w:before="100" w:beforeAutospacing="1" w:after="0" w:afterAutospacing="0" w:line="360" w:lineRule="auto"/>
        <w:ind w:firstLineChars="150" w:firstLine="330"/>
        <w:contextualSpacing/>
        <w:rPr>
          <w:b w:val="0"/>
          <w:sz w:val="22"/>
        </w:rPr>
      </w:pPr>
    </w:p>
    <w:p w14:paraId="277250FB" w14:textId="77777777" w:rsidR="00B85BD5" w:rsidRDefault="00B85BD5" w:rsidP="00C07FC7">
      <w:pPr>
        <w:pStyle w:val="LGTdoc1"/>
        <w:snapToGrid/>
        <w:spacing w:line="360" w:lineRule="auto"/>
        <w:contextualSpacing/>
        <w:rPr>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2F40D577"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 xml:space="preserve">In this contribution, we have discussed the potential enhancements on </w:t>
      </w:r>
      <w:r w:rsidR="00AE0062">
        <w:rPr>
          <w:b w:val="0"/>
          <w:sz w:val="22"/>
          <w:lang w:val="en-US"/>
        </w:rPr>
        <w:t>inter-cell beam management for mobility based on L1/L2 measurement/reporting</w:t>
      </w:r>
      <w:r w:rsidRPr="00475EA3">
        <w:rPr>
          <w:b w:val="0"/>
          <w:sz w:val="22"/>
          <w:lang w:val="en-US"/>
        </w:rPr>
        <w:t xml:space="preserve">. Based on the discussions above, following proposal </w:t>
      </w:r>
      <w:r w:rsidR="00AE4249">
        <w:rPr>
          <w:b w:val="0"/>
          <w:sz w:val="22"/>
          <w:lang w:val="en-US"/>
        </w:rPr>
        <w:t>is</w:t>
      </w:r>
      <w:r w:rsidRPr="00475EA3">
        <w:rPr>
          <w:b w:val="0"/>
          <w:sz w:val="22"/>
          <w:lang w:val="en-US"/>
        </w:rPr>
        <w:t xml:space="preserve"> given as:</w:t>
      </w:r>
    </w:p>
    <w:p w14:paraId="3B7F4ABA" w14:textId="77777777" w:rsidR="00CC4DDE" w:rsidRDefault="00CC4DDE" w:rsidP="00CC4DDE">
      <w:pPr>
        <w:pStyle w:val="LGTdoc1"/>
        <w:snapToGrid/>
        <w:spacing w:line="360" w:lineRule="auto"/>
        <w:contextualSpacing/>
        <w:rPr>
          <w:sz w:val="22"/>
        </w:rPr>
      </w:pPr>
      <w:r>
        <w:rPr>
          <w:sz w:val="22"/>
        </w:rPr>
        <w:t>Proposal #1: Consider at least gNB scheduled measurement reporting via MAC-CE.</w:t>
      </w:r>
    </w:p>
    <w:p w14:paraId="1D628F6C" w14:textId="77777777" w:rsidR="00CC4DDE" w:rsidRDefault="00CC4DDE" w:rsidP="00CC4DDE">
      <w:pPr>
        <w:pStyle w:val="LGTdoc1"/>
        <w:snapToGrid/>
        <w:spacing w:beforeLines="0" w:before="100" w:beforeAutospacing="1" w:after="0" w:afterAutospacing="0" w:line="360" w:lineRule="auto"/>
        <w:contextualSpacing/>
        <w:rPr>
          <w:sz w:val="22"/>
        </w:rPr>
      </w:pPr>
      <w:r>
        <w:rPr>
          <w:sz w:val="22"/>
        </w:rPr>
        <w:t>Proposal #2: Support to reuse the reporting format and quantization in Rel-17 ICBM for Rel-18 LTM</w:t>
      </w:r>
    </w:p>
    <w:p w14:paraId="6924F182" w14:textId="77777777" w:rsidR="00CC4DDE" w:rsidRDefault="00CC4DDE" w:rsidP="00CC4DDE">
      <w:pPr>
        <w:pStyle w:val="LGTdoc1"/>
        <w:numPr>
          <w:ilvl w:val="0"/>
          <w:numId w:val="16"/>
        </w:numPr>
        <w:snapToGrid/>
        <w:spacing w:line="360" w:lineRule="auto"/>
        <w:contextualSpacing/>
        <w:rPr>
          <w:sz w:val="22"/>
        </w:rPr>
      </w:pPr>
      <w:r>
        <w:rPr>
          <w:sz w:val="22"/>
        </w:rPr>
        <w:t xml:space="preserve">Consider the larger value </w:t>
      </w:r>
      <w:r>
        <w:rPr>
          <w:rFonts w:hint="eastAsia"/>
          <w:sz w:val="22"/>
        </w:rPr>
        <w:t xml:space="preserve">for </w:t>
      </w:r>
      <w:r>
        <w:rPr>
          <w:sz w:val="22"/>
        </w:rPr>
        <w:t>the max number of reported measurements than legacy value, i.e., 4, for inter-frequency measurement</w:t>
      </w:r>
    </w:p>
    <w:p w14:paraId="4951E8CF" w14:textId="77777777" w:rsidR="00CC4DDE" w:rsidRDefault="00CC4DDE" w:rsidP="00CC4DDE">
      <w:pPr>
        <w:pStyle w:val="LGTdoc1"/>
        <w:numPr>
          <w:ilvl w:val="1"/>
          <w:numId w:val="16"/>
        </w:numPr>
        <w:snapToGrid/>
        <w:spacing w:line="360" w:lineRule="auto"/>
        <w:contextualSpacing/>
        <w:rPr>
          <w:sz w:val="22"/>
        </w:rPr>
      </w:pPr>
      <w:r>
        <w:rPr>
          <w:sz w:val="22"/>
        </w:rPr>
        <w:t>Not consider that a UE is allowed to report less than M x L beams</w:t>
      </w:r>
    </w:p>
    <w:p w14:paraId="665D2C35" w14:textId="77777777" w:rsidR="00CC4DDE" w:rsidRPr="00886F44" w:rsidRDefault="00CC4DDE" w:rsidP="00CC4DDE">
      <w:pPr>
        <w:pStyle w:val="LGTdoc1"/>
        <w:numPr>
          <w:ilvl w:val="0"/>
          <w:numId w:val="16"/>
        </w:numPr>
        <w:snapToGrid/>
        <w:spacing w:line="360" w:lineRule="auto"/>
        <w:contextualSpacing/>
        <w:rPr>
          <w:sz w:val="22"/>
        </w:rPr>
      </w:pPr>
      <w:r>
        <w:rPr>
          <w:rFonts w:hint="eastAsia"/>
          <w:sz w:val="22"/>
        </w:rPr>
        <w:t xml:space="preserve">Not consider the configurability </w:t>
      </w:r>
      <w:r>
        <w:rPr>
          <w:sz w:val="22"/>
        </w:rPr>
        <w:t>on the serving cell and/or inter-frequency cell for</w:t>
      </w:r>
      <w:r>
        <w:rPr>
          <w:rFonts w:hint="eastAsia"/>
          <w:sz w:val="22"/>
        </w:rPr>
        <w:t xml:space="preserve"> L cell</w:t>
      </w:r>
      <w:r>
        <w:rPr>
          <w:sz w:val="22"/>
        </w:rPr>
        <w:t xml:space="preserve"> selection</w:t>
      </w:r>
    </w:p>
    <w:p w14:paraId="282200A4" w14:textId="77777777" w:rsidR="00CC4DDE" w:rsidRPr="00523974" w:rsidRDefault="00CC4DDE" w:rsidP="00475EA3">
      <w:pPr>
        <w:pStyle w:val="LGTdoc1"/>
        <w:snapToGrid/>
        <w:spacing w:beforeLines="0" w:before="100" w:beforeAutospacing="1" w:after="0" w:afterAutospacing="0" w:line="360" w:lineRule="auto"/>
        <w:ind w:firstLineChars="150" w:firstLine="330"/>
        <w:contextualSpacing/>
        <w:rPr>
          <w:b w:val="0"/>
          <w:sz w:val="22"/>
        </w:rPr>
      </w:pPr>
      <w:bookmarkStart w:id="0" w:name="_GoBack"/>
    </w:p>
    <w:bookmarkEnd w:id="0"/>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507D3042" w14:textId="188A14FF" w:rsidR="004D2D51"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w:t>
      </w:r>
      <w:r w:rsidR="00265A2E">
        <w:rPr>
          <w:rFonts w:ascii="Times New Roman" w:eastAsia="바탕" w:hAnsi="Times New Roman" w:cs="Times New Roman"/>
          <w:snapToGrid w:val="0"/>
          <w:sz w:val="20"/>
          <w:szCs w:val="20"/>
        </w:rPr>
        <w:t>565</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w:t>
      </w:r>
      <w:r w:rsidR="00265A2E">
        <w:rPr>
          <w:rFonts w:ascii="Times New Roman" w:eastAsia="바탕" w:hAnsi="Times New Roman" w:cs="Times New Roman"/>
          <w:snapToGrid w:val="0"/>
          <w:sz w:val="20"/>
          <w:szCs w:val="20"/>
        </w:rPr>
        <w:t xml:space="preserve"> on Further NR mobility enhancements</w:t>
      </w:r>
      <w:r w:rsidR="00265A2E">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00265A2E">
        <w:rPr>
          <w:rFonts w:ascii="Times New Roman" w:eastAsia="바탕" w:hAnsi="Times New Roman" w:cs="Times New Roman"/>
          <w:snapToGrid w:val="0"/>
          <w:sz w:val="20"/>
          <w:szCs w:val="20"/>
        </w:rPr>
        <w:t>MediaTek</w:t>
      </w:r>
    </w:p>
    <w:p w14:paraId="597D2663" w14:textId="31368F43" w:rsidR="00174106" w:rsidRPr="00174106" w:rsidRDefault="00174106" w:rsidP="00174106">
      <w:pPr>
        <w:rPr>
          <w:rFonts w:ascii="Times" w:eastAsia="바탕" w:hAnsi="Times" w:cs="Times New Roman"/>
          <w:sz w:val="20"/>
          <w:lang w:val="en-GB" w:eastAsia="x-none"/>
        </w:rPr>
      </w:pPr>
      <w:r>
        <w:rPr>
          <w:rFonts w:ascii="Times" w:eastAsia="바탕" w:hAnsi="Times" w:cs="Times New Roman"/>
          <w:sz w:val="20"/>
          <w:lang w:val="en-GB" w:eastAsia="x-none"/>
        </w:rPr>
        <w:t xml:space="preserve">[2] </w:t>
      </w:r>
      <w:r w:rsidRPr="00174106">
        <w:rPr>
          <w:rFonts w:ascii="Times" w:eastAsia="바탕" w:hAnsi="Times" w:cs="Times New Roman" w:hint="eastAsia"/>
          <w:sz w:val="20"/>
          <w:lang w:val="en-GB" w:eastAsia="x-none"/>
        </w:rPr>
        <w:t>R</w:t>
      </w:r>
      <w:r w:rsidRPr="00174106">
        <w:rPr>
          <w:rFonts w:ascii="Times" w:eastAsia="바탕" w:hAnsi="Times" w:cs="Times New Roman"/>
          <w:sz w:val="20"/>
          <w:lang w:val="en-GB" w:eastAsia="x-none"/>
        </w:rPr>
        <w:t>1-2306168</w:t>
      </w:r>
      <w:r w:rsidRPr="00174106">
        <w:rPr>
          <w:rFonts w:ascii="Times" w:eastAsia="바탕" w:hAnsi="Times" w:cs="Times New Roman"/>
          <w:sz w:val="20"/>
          <w:lang w:val="en-GB" w:eastAsia="x-none"/>
        </w:rPr>
        <w:tab/>
        <w:t>FL summary 4 on L1 enhancements for inter-cell beam management</w:t>
      </w:r>
      <w:r w:rsidRPr="00174106">
        <w:rPr>
          <w:rFonts w:ascii="Times" w:eastAsia="바탕" w:hAnsi="Times" w:cs="Times New Roman"/>
          <w:sz w:val="20"/>
          <w:lang w:val="en-GB" w:eastAsia="x-none"/>
        </w:rPr>
        <w:tab/>
        <w:t>Moderator (Fujitsu, MediaTek)</w:t>
      </w:r>
    </w:p>
    <w:p w14:paraId="09247BD3" w14:textId="57E0AA19" w:rsidR="00D9422C" w:rsidRPr="00174106" w:rsidRDefault="00D9422C" w:rsidP="00C5471D">
      <w:pPr>
        <w:adjustRightInd w:val="0"/>
        <w:spacing w:before="100" w:beforeAutospacing="1" w:after="100" w:afterAutospacing="1"/>
        <w:contextualSpacing/>
        <w:jc w:val="both"/>
        <w:rPr>
          <w:rFonts w:ascii="Times New Roman" w:eastAsia="바탕" w:hAnsi="Times New Roman" w:cs="Times New Roman"/>
          <w:snapToGrid w:val="0"/>
          <w:sz w:val="20"/>
          <w:szCs w:val="20"/>
          <w:lang w:val="en-GB"/>
        </w:rPr>
      </w:pPr>
    </w:p>
    <w:sectPr w:rsidR="00D9422C" w:rsidRPr="00174106"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CC13F" w14:textId="77777777" w:rsidR="001D7B67" w:rsidRDefault="001D7B67" w:rsidP="00C01439">
      <w:r>
        <w:separator/>
      </w:r>
    </w:p>
  </w:endnote>
  <w:endnote w:type="continuationSeparator" w:id="0">
    <w:p w14:paraId="753148BA" w14:textId="77777777" w:rsidR="001D7B67" w:rsidRDefault="001D7B67"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DengXian">
    <w:altName w:val="SimSun"/>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B2F085F" w:rsidR="001530E9" w:rsidRPr="00473EE7" w:rsidRDefault="001530E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23974">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23974" w:rsidRPr="00523974">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FB115" w14:textId="77777777" w:rsidR="001D7B67" w:rsidRDefault="001D7B67" w:rsidP="00C01439">
      <w:r>
        <w:separator/>
      </w:r>
    </w:p>
  </w:footnote>
  <w:footnote w:type="continuationSeparator" w:id="0">
    <w:p w14:paraId="514EE49C" w14:textId="77777777" w:rsidR="001D7B67" w:rsidRDefault="001D7B67"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BFE4E5C"/>
    <w:multiLevelType w:val="hybridMultilevel"/>
    <w:tmpl w:val="CD6E69A0"/>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E25C9C"/>
    <w:multiLevelType w:val="hybridMultilevel"/>
    <w:tmpl w:val="0B18FAF2"/>
    <w:lvl w:ilvl="0" w:tplc="5C6C2CFC">
      <w:numFmt w:val="bullet"/>
      <w:lvlText w:val="-"/>
      <w:lvlJc w:val="left"/>
      <w:pPr>
        <w:ind w:left="800" w:hanging="400"/>
      </w:pPr>
      <w:rPr>
        <w:rFonts w:ascii="Times New Roman" w:eastAsia="Times New Roman"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바탕" w:hAnsi="Times" w:cs="Times" w:hint="default"/>
      </w:rPr>
    </w:lvl>
    <w:lvl w:ilvl="2">
      <w:numFmt w:val="bullet"/>
      <w:lvlText w:val="-"/>
      <w:lvlJc w:val="left"/>
      <w:pPr>
        <w:ind w:left="1260" w:hanging="420"/>
      </w:pPr>
      <w:rPr>
        <w:rFonts w:ascii="Times" w:eastAsia="바탕"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4E0094"/>
    <w:multiLevelType w:val="hybridMultilevel"/>
    <w:tmpl w:val="D9A41980"/>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266B0AFE"/>
    <w:multiLevelType w:val="hybridMultilevel"/>
    <w:tmpl w:val="DCA8973E"/>
    <w:lvl w:ilvl="0" w:tplc="5C6C2CFC">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BC4B33"/>
    <w:multiLevelType w:val="hybridMultilevel"/>
    <w:tmpl w:val="3A0EAA96"/>
    <w:lvl w:ilvl="0" w:tplc="EBA83828">
      <w:start w:val="1"/>
      <w:numFmt w:val="bullet"/>
      <w:lvlText w:val="-"/>
      <w:lvlJc w:val="left"/>
      <w:pPr>
        <w:tabs>
          <w:tab w:val="num" w:pos="720"/>
        </w:tabs>
        <w:ind w:left="720" w:hanging="360"/>
      </w:pPr>
      <w:rPr>
        <w:rFonts w:ascii="Times New Roman" w:hAnsi="Times New Roman" w:hint="default"/>
      </w:rPr>
    </w:lvl>
    <w:lvl w:ilvl="1" w:tplc="ADF4096C">
      <w:numFmt w:val="bullet"/>
      <w:lvlText w:val="-"/>
      <w:lvlJc w:val="left"/>
      <w:pPr>
        <w:tabs>
          <w:tab w:val="num" w:pos="1440"/>
        </w:tabs>
        <w:ind w:left="1440" w:hanging="360"/>
      </w:pPr>
      <w:rPr>
        <w:rFonts w:ascii="Yu Gothic" w:hAnsi="Yu Gothic" w:hint="default"/>
      </w:rPr>
    </w:lvl>
    <w:lvl w:ilvl="2" w:tplc="ECBA2E2A">
      <w:numFmt w:val="bullet"/>
      <w:lvlText w:val="-"/>
      <w:lvlJc w:val="left"/>
      <w:pPr>
        <w:tabs>
          <w:tab w:val="num" w:pos="2160"/>
        </w:tabs>
        <w:ind w:left="2160" w:hanging="360"/>
      </w:pPr>
      <w:rPr>
        <w:rFonts w:ascii="Yu Gothic" w:hAnsi="Yu Gothic" w:hint="default"/>
      </w:rPr>
    </w:lvl>
    <w:lvl w:ilvl="3" w:tplc="72BCF9EE">
      <w:start w:val="1"/>
      <w:numFmt w:val="bullet"/>
      <w:lvlText w:val="-"/>
      <w:lvlJc w:val="left"/>
      <w:pPr>
        <w:tabs>
          <w:tab w:val="num" w:pos="2880"/>
        </w:tabs>
        <w:ind w:left="2880" w:hanging="360"/>
      </w:pPr>
      <w:rPr>
        <w:rFonts w:ascii="Times New Roman" w:hAnsi="Times New Roman" w:hint="default"/>
      </w:rPr>
    </w:lvl>
    <w:lvl w:ilvl="4" w:tplc="CA7C7A64" w:tentative="1">
      <w:start w:val="1"/>
      <w:numFmt w:val="bullet"/>
      <w:lvlText w:val="-"/>
      <w:lvlJc w:val="left"/>
      <w:pPr>
        <w:tabs>
          <w:tab w:val="num" w:pos="3600"/>
        </w:tabs>
        <w:ind w:left="3600" w:hanging="360"/>
      </w:pPr>
      <w:rPr>
        <w:rFonts w:ascii="Times New Roman" w:hAnsi="Times New Roman" w:hint="default"/>
      </w:rPr>
    </w:lvl>
    <w:lvl w:ilvl="5" w:tplc="C7E88CAA" w:tentative="1">
      <w:start w:val="1"/>
      <w:numFmt w:val="bullet"/>
      <w:lvlText w:val="-"/>
      <w:lvlJc w:val="left"/>
      <w:pPr>
        <w:tabs>
          <w:tab w:val="num" w:pos="4320"/>
        </w:tabs>
        <w:ind w:left="4320" w:hanging="360"/>
      </w:pPr>
      <w:rPr>
        <w:rFonts w:ascii="Times New Roman" w:hAnsi="Times New Roman" w:hint="default"/>
      </w:rPr>
    </w:lvl>
    <w:lvl w:ilvl="6" w:tplc="D5B64E02" w:tentative="1">
      <w:start w:val="1"/>
      <w:numFmt w:val="bullet"/>
      <w:lvlText w:val="-"/>
      <w:lvlJc w:val="left"/>
      <w:pPr>
        <w:tabs>
          <w:tab w:val="num" w:pos="5040"/>
        </w:tabs>
        <w:ind w:left="5040" w:hanging="360"/>
      </w:pPr>
      <w:rPr>
        <w:rFonts w:ascii="Times New Roman" w:hAnsi="Times New Roman" w:hint="default"/>
      </w:rPr>
    </w:lvl>
    <w:lvl w:ilvl="7" w:tplc="F4F853A6" w:tentative="1">
      <w:start w:val="1"/>
      <w:numFmt w:val="bullet"/>
      <w:lvlText w:val="-"/>
      <w:lvlJc w:val="left"/>
      <w:pPr>
        <w:tabs>
          <w:tab w:val="num" w:pos="5760"/>
        </w:tabs>
        <w:ind w:left="5760" w:hanging="360"/>
      </w:pPr>
      <w:rPr>
        <w:rFonts w:ascii="Times New Roman" w:hAnsi="Times New Roman" w:hint="default"/>
      </w:rPr>
    </w:lvl>
    <w:lvl w:ilvl="8" w:tplc="66DC706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809000A"/>
    <w:multiLevelType w:val="hybridMultilevel"/>
    <w:tmpl w:val="5BF2B4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AA02ABB"/>
    <w:multiLevelType w:val="multilevel"/>
    <w:tmpl w:val="EAE863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15">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648B65DC"/>
    <w:multiLevelType w:val="multilevel"/>
    <w:tmpl w:val="64B6F6B2"/>
    <w:lvl w:ilvl="0">
      <w:numFmt w:val="bullet"/>
      <w:lvlText w:val="-"/>
      <w:lvlJc w:val="left"/>
      <w:pPr>
        <w:ind w:left="360" w:hanging="360"/>
      </w:pPr>
      <w:rPr>
        <w:rFonts w:ascii="Calibri" w:eastAsia="Calibri" w:hAnsi="Calibri" w:cs="Calibri"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66800204"/>
    <w:multiLevelType w:val="hybridMultilevel"/>
    <w:tmpl w:val="C1EC2B06"/>
    <w:lvl w:ilvl="0" w:tplc="5C6C2CFC">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D9828DD"/>
    <w:multiLevelType w:val="hybridMultilevel"/>
    <w:tmpl w:val="A7EED506"/>
    <w:lvl w:ilvl="0" w:tplc="D876B566">
      <w:start w:val="1"/>
      <w:numFmt w:val="bullet"/>
      <w:lvlText w:val="-"/>
      <w:lvlJc w:val="left"/>
      <w:pPr>
        <w:tabs>
          <w:tab w:val="num" w:pos="720"/>
        </w:tabs>
        <w:ind w:left="720" w:hanging="360"/>
      </w:pPr>
      <w:rPr>
        <w:rFonts w:ascii="Times New Roman" w:hAnsi="Times New Roman" w:cs="Times New Roman" w:hint="default"/>
      </w:rPr>
    </w:lvl>
    <w:lvl w:ilvl="1" w:tplc="7C2ABB26">
      <w:numFmt w:val="bullet"/>
      <w:lvlText w:val="-"/>
      <w:lvlJc w:val="left"/>
      <w:pPr>
        <w:tabs>
          <w:tab w:val="num" w:pos="1440"/>
        </w:tabs>
        <w:ind w:left="1440" w:hanging="360"/>
      </w:pPr>
      <w:rPr>
        <w:rFonts w:ascii="Yu Gothic" w:eastAsia="Times New Roman" w:hint="eastAsia"/>
      </w:rPr>
    </w:lvl>
    <w:lvl w:ilvl="2" w:tplc="33F007A4">
      <w:numFmt w:val="bullet"/>
      <w:lvlText w:val="-"/>
      <w:lvlJc w:val="left"/>
      <w:pPr>
        <w:tabs>
          <w:tab w:val="num" w:pos="2160"/>
        </w:tabs>
        <w:ind w:left="2160" w:hanging="360"/>
      </w:pPr>
      <w:rPr>
        <w:rFonts w:ascii="Yu Gothic" w:eastAsia="Times New Roman" w:hint="eastAsia"/>
      </w:rPr>
    </w:lvl>
    <w:lvl w:ilvl="3" w:tplc="6E6C9600">
      <w:numFmt w:val="bullet"/>
      <w:lvlText w:val="-"/>
      <w:lvlJc w:val="left"/>
      <w:pPr>
        <w:tabs>
          <w:tab w:val="num" w:pos="2880"/>
        </w:tabs>
        <w:ind w:left="2880" w:hanging="360"/>
      </w:pPr>
      <w:rPr>
        <w:rFonts w:ascii="Yu Gothic" w:eastAsia="Times New Roman" w:hint="eastAsia"/>
      </w:rPr>
    </w:lvl>
    <w:lvl w:ilvl="4" w:tplc="E5160A52">
      <w:start w:val="1"/>
      <w:numFmt w:val="bullet"/>
      <w:lvlText w:val="-"/>
      <w:lvlJc w:val="left"/>
      <w:pPr>
        <w:tabs>
          <w:tab w:val="num" w:pos="3600"/>
        </w:tabs>
        <w:ind w:left="3600" w:hanging="360"/>
      </w:pPr>
      <w:rPr>
        <w:rFonts w:ascii="Times New Roman" w:hAnsi="Times New Roman" w:cs="Times New Roman" w:hint="default"/>
      </w:rPr>
    </w:lvl>
    <w:lvl w:ilvl="5" w:tplc="67B2A846">
      <w:start w:val="1"/>
      <w:numFmt w:val="bullet"/>
      <w:lvlText w:val="-"/>
      <w:lvlJc w:val="left"/>
      <w:pPr>
        <w:tabs>
          <w:tab w:val="num" w:pos="4320"/>
        </w:tabs>
        <w:ind w:left="4320" w:hanging="360"/>
      </w:pPr>
      <w:rPr>
        <w:rFonts w:ascii="Times New Roman" w:hAnsi="Times New Roman" w:cs="Times New Roman" w:hint="default"/>
      </w:rPr>
    </w:lvl>
    <w:lvl w:ilvl="6" w:tplc="F9909A72">
      <w:start w:val="1"/>
      <w:numFmt w:val="bullet"/>
      <w:lvlText w:val="-"/>
      <w:lvlJc w:val="left"/>
      <w:pPr>
        <w:tabs>
          <w:tab w:val="num" w:pos="5040"/>
        </w:tabs>
        <w:ind w:left="5040" w:hanging="360"/>
      </w:pPr>
      <w:rPr>
        <w:rFonts w:ascii="Times New Roman" w:hAnsi="Times New Roman" w:cs="Times New Roman" w:hint="default"/>
      </w:rPr>
    </w:lvl>
    <w:lvl w:ilvl="7" w:tplc="837E0482">
      <w:start w:val="1"/>
      <w:numFmt w:val="bullet"/>
      <w:lvlText w:val="-"/>
      <w:lvlJc w:val="left"/>
      <w:pPr>
        <w:tabs>
          <w:tab w:val="num" w:pos="5760"/>
        </w:tabs>
        <w:ind w:left="5760" w:hanging="360"/>
      </w:pPr>
      <w:rPr>
        <w:rFonts w:ascii="Times New Roman" w:hAnsi="Times New Roman" w:cs="Times New Roman" w:hint="default"/>
      </w:rPr>
    </w:lvl>
    <w:lvl w:ilvl="8" w:tplc="47944864">
      <w:start w:val="1"/>
      <w:numFmt w:val="bullet"/>
      <w:lvlText w:val="-"/>
      <w:lvlJc w:val="left"/>
      <w:pPr>
        <w:tabs>
          <w:tab w:val="num" w:pos="6480"/>
        </w:tabs>
        <w:ind w:left="6480" w:hanging="360"/>
      </w:pPr>
      <w:rPr>
        <w:rFonts w:ascii="Times New Roman" w:hAnsi="Times New Roman" w:cs="Times New Roman"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F027D6"/>
    <w:multiLevelType w:val="hybridMultilevel"/>
    <w:tmpl w:val="CC2C6924"/>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2"/>
  </w:num>
  <w:num w:numId="2">
    <w:abstractNumId w:val="19"/>
  </w:num>
  <w:num w:numId="3">
    <w:abstractNumId w:val="21"/>
  </w:num>
  <w:num w:numId="4">
    <w:abstractNumId w:val="23"/>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5"/>
  </w:num>
  <w:num w:numId="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6"/>
  </w:num>
  <w:num w:numId="13">
    <w:abstractNumId w:val="4"/>
  </w:num>
  <w:num w:numId="14">
    <w:abstractNumId w:val="8"/>
  </w:num>
  <w:num w:numId="15">
    <w:abstractNumId w:val="5"/>
  </w:num>
  <w:num w:numId="16">
    <w:abstractNumId w:val="17"/>
  </w:num>
  <w:num w:numId="17">
    <w:abstractNumId w:val="1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num>
  <w:num w:numId="26">
    <w:abstractNumId w:val="10"/>
  </w:num>
  <w:num w:numId="27">
    <w:abstractNumId w:val="20"/>
  </w:num>
  <w:num w:numId="28">
    <w:abstractNumId w:val="9"/>
  </w:num>
  <w:num w:numId="29">
    <w:abstractNumId w:val="18"/>
  </w:num>
  <w:num w:numId="30">
    <w:abstractNumId w:val="14"/>
  </w:num>
  <w:num w:numId="31">
    <w:abstractNumId w:val="6"/>
  </w:num>
  <w:num w:numId="32">
    <w:abstractNumId w:val="7"/>
  </w:num>
  <w:num w:numId="33">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142"/>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27E69"/>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27F"/>
    <w:rsid w:val="00042B67"/>
    <w:rsid w:val="00042F21"/>
    <w:rsid w:val="00043370"/>
    <w:rsid w:val="000439E9"/>
    <w:rsid w:val="00043CB8"/>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424"/>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53B"/>
    <w:rsid w:val="000A699C"/>
    <w:rsid w:val="000A7226"/>
    <w:rsid w:val="000A7A6F"/>
    <w:rsid w:val="000A7F41"/>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812"/>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0C12"/>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4E06"/>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106"/>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784"/>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D46"/>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85A"/>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D7B67"/>
    <w:rsid w:val="001E0FB6"/>
    <w:rsid w:val="001E199A"/>
    <w:rsid w:val="001E1C2C"/>
    <w:rsid w:val="001E1FCF"/>
    <w:rsid w:val="001E29F3"/>
    <w:rsid w:val="001E48DA"/>
    <w:rsid w:val="001E4C9B"/>
    <w:rsid w:val="001E4FF5"/>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6FE"/>
    <w:rsid w:val="001F6855"/>
    <w:rsid w:val="001F6A76"/>
    <w:rsid w:val="001F7BAA"/>
    <w:rsid w:val="00200284"/>
    <w:rsid w:val="002014BE"/>
    <w:rsid w:val="002015AA"/>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2AB"/>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853"/>
    <w:rsid w:val="002438B3"/>
    <w:rsid w:val="00243ECC"/>
    <w:rsid w:val="002441BB"/>
    <w:rsid w:val="002445AE"/>
    <w:rsid w:val="00244B0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2E"/>
    <w:rsid w:val="00265AB7"/>
    <w:rsid w:val="002665FE"/>
    <w:rsid w:val="00266810"/>
    <w:rsid w:val="00267EDC"/>
    <w:rsid w:val="002707DA"/>
    <w:rsid w:val="002708F7"/>
    <w:rsid w:val="00270F03"/>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268D"/>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260"/>
    <w:rsid w:val="0029233F"/>
    <w:rsid w:val="00292741"/>
    <w:rsid w:val="00292836"/>
    <w:rsid w:val="00292DCE"/>
    <w:rsid w:val="002937B7"/>
    <w:rsid w:val="002938D0"/>
    <w:rsid w:val="00293A7E"/>
    <w:rsid w:val="00294CE9"/>
    <w:rsid w:val="00294E85"/>
    <w:rsid w:val="00295248"/>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7D73"/>
    <w:rsid w:val="002F0609"/>
    <w:rsid w:val="002F0C7A"/>
    <w:rsid w:val="002F10C5"/>
    <w:rsid w:val="002F118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6EF0"/>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4E1"/>
    <w:rsid w:val="00323620"/>
    <w:rsid w:val="00323F42"/>
    <w:rsid w:val="003240FD"/>
    <w:rsid w:val="003248A4"/>
    <w:rsid w:val="00324F19"/>
    <w:rsid w:val="00325111"/>
    <w:rsid w:val="003255F6"/>
    <w:rsid w:val="003266C9"/>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7F2"/>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5A0"/>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C"/>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407"/>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1DA0"/>
    <w:rsid w:val="003929F6"/>
    <w:rsid w:val="0039447B"/>
    <w:rsid w:val="0039480A"/>
    <w:rsid w:val="0039498F"/>
    <w:rsid w:val="00394B60"/>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AA5"/>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B44"/>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5A1D"/>
    <w:rsid w:val="00436110"/>
    <w:rsid w:val="004369B9"/>
    <w:rsid w:val="00436E16"/>
    <w:rsid w:val="004373AE"/>
    <w:rsid w:val="004373CE"/>
    <w:rsid w:val="004376AC"/>
    <w:rsid w:val="00437A6A"/>
    <w:rsid w:val="00437C43"/>
    <w:rsid w:val="00440522"/>
    <w:rsid w:val="004405FE"/>
    <w:rsid w:val="00441A13"/>
    <w:rsid w:val="00441D90"/>
    <w:rsid w:val="00441F41"/>
    <w:rsid w:val="004425E1"/>
    <w:rsid w:val="00442865"/>
    <w:rsid w:val="00442C0C"/>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BE7"/>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820"/>
    <w:rsid w:val="00465AAA"/>
    <w:rsid w:val="00465ACE"/>
    <w:rsid w:val="00465BDB"/>
    <w:rsid w:val="00465CB2"/>
    <w:rsid w:val="00465E8C"/>
    <w:rsid w:val="00466434"/>
    <w:rsid w:val="0046649C"/>
    <w:rsid w:val="004668AE"/>
    <w:rsid w:val="00466D36"/>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3D4"/>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06E"/>
    <w:rsid w:val="004A16B7"/>
    <w:rsid w:val="004A19DC"/>
    <w:rsid w:val="004A1AF9"/>
    <w:rsid w:val="004A1B74"/>
    <w:rsid w:val="004A230E"/>
    <w:rsid w:val="004A2ED6"/>
    <w:rsid w:val="004A2F87"/>
    <w:rsid w:val="004A2F9A"/>
    <w:rsid w:val="004A3858"/>
    <w:rsid w:val="004A3CB3"/>
    <w:rsid w:val="004A5325"/>
    <w:rsid w:val="004A54BA"/>
    <w:rsid w:val="004A59F2"/>
    <w:rsid w:val="004A6993"/>
    <w:rsid w:val="004A6C42"/>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6F6"/>
    <w:rsid w:val="004B4E87"/>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463A"/>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1A9E"/>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4A5"/>
    <w:rsid w:val="004F450D"/>
    <w:rsid w:val="004F4971"/>
    <w:rsid w:val="004F4B68"/>
    <w:rsid w:val="004F4C11"/>
    <w:rsid w:val="004F5221"/>
    <w:rsid w:val="004F658D"/>
    <w:rsid w:val="004F6820"/>
    <w:rsid w:val="004F6877"/>
    <w:rsid w:val="004F6A3A"/>
    <w:rsid w:val="004F6A87"/>
    <w:rsid w:val="004F7395"/>
    <w:rsid w:val="004F7962"/>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974"/>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22A6"/>
    <w:rsid w:val="0053291B"/>
    <w:rsid w:val="00532FFF"/>
    <w:rsid w:val="00533615"/>
    <w:rsid w:val="00533A20"/>
    <w:rsid w:val="00533B48"/>
    <w:rsid w:val="005341B6"/>
    <w:rsid w:val="005342F6"/>
    <w:rsid w:val="00534481"/>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B51"/>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6E8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9F2"/>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2DF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1D56"/>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8D"/>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BC0"/>
    <w:rsid w:val="005E0525"/>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4DB"/>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326"/>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4991"/>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877E5"/>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16C"/>
    <w:rsid w:val="006A42B5"/>
    <w:rsid w:val="006A440C"/>
    <w:rsid w:val="006A4431"/>
    <w:rsid w:val="006A49F9"/>
    <w:rsid w:val="006A4CFA"/>
    <w:rsid w:val="006A5275"/>
    <w:rsid w:val="006A539E"/>
    <w:rsid w:val="006A5582"/>
    <w:rsid w:val="006A5E15"/>
    <w:rsid w:val="006A6BD0"/>
    <w:rsid w:val="006A7A8A"/>
    <w:rsid w:val="006A7D7F"/>
    <w:rsid w:val="006B074A"/>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092"/>
    <w:rsid w:val="006C3905"/>
    <w:rsid w:val="006C4154"/>
    <w:rsid w:val="006C41B3"/>
    <w:rsid w:val="006C4418"/>
    <w:rsid w:val="006C4ED9"/>
    <w:rsid w:val="006C5733"/>
    <w:rsid w:val="006C5914"/>
    <w:rsid w:val="006C5DC5"/>
    <w:rsid w:val="006C71E3"/>
    <w:rsid w:val="006C754A"/>
    <w:rsid w:val="006D01F8"/>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4"/>
    <w:rsid w:val="006E2D73"/>
    <w:rsid w:val="006E5C41"/>
    <w:rsid w:val="006E68DA"/>
    <w:rsid w:val="006E7B0B"/>
    <w:rsid w:val="006E7CA8"/>
    <w:rsid w:val="006F039F"/>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07F66"/>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0CF7"/>
    <w:rsid w:val="00721C9F"/>
    <w:rsid w:val="00721E5D"/>
    <w:rsid w:val="007220D3"/>
    <w:rsid w:val="007229E5"/>
    <w:rsid w:val="00722A38"/>
    <w:rsid w:val="00722CE7"/>
    <w:rsid w:val="00722D1D"/>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9DB"/>
    <w:rsid w:val="00731E5E"/>
    <w:rsid w:val="00732091"/>
    <w:rsid w:val="0073317A"/>
    <w:rsid w:val="0073460F"/>
    <w:rsid w:val="007354B8"/>
    <w:rsid w:val="00735A5A"/>
    <w:rsid w:val="007362E7"/>
    <w:rsid w:val="00736563"/>
    <w:rsid w:val="007369CD"/>
    <w:rsid w:val="00736D35"/>
    <w:rsid w:val="00737333"/>
    <w:rsid w:val="00737384"/>
    <w:rsid w:val="007377EA"/>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664"/>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69B"/>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E6F"/>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AE"/>
    <w:rsid w:val="007C1EEC"/>
    <w:rsid w:val="007C2175"/>
    <w:rsid w:val="007C273C"/>
    <w:rsid w:val="007C27C5"/>
    <w:rsid w:val="007C2899"/>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3393"/>
    <w:rsid w:val="007F3DFD"/>
    <w:rsid w:val="007F41A5"/>
    <w:rsid w:val="007F4378"/>
    <w:rsid w:val="007F4BE6"/>
    <w:rsid w:val="007F4CAD"/>
    <w:rsid w:val="007F5096"/>
    <w:rsid w:val="007F511D"/>
    <w:rsid w:val="007F5573"/>
    <w:rsid w:val="007F62AB"/>
    <w:rsid w:val="007F6640"/>
    <w:rsid w:val="007F6834"/>
    <w:rsid w:val="007F6AED"/>
    <w:rsid w:val="007F6D9D"/>
    <w:rsid w:val="007F70A2"/>
    <w:rsid w:val="007F7119"/>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3EC9"/>
    <w:rsid w:val="00854285"/>
    <w:rsid w:val="00854FD5"/>
    <w:rsid w:val="00855702"/>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361"/>
    <w:rsid w:val="00867594"/>
    <w:rsid w:val="00867732"/>
    <w:rsid w:val="0086790C"/>
    <w:rsid w:val="00867E16"/>
    <w:rsid w:val="008702BF"/>
    <w:rsid w:val="008704E8"/>
    <w:rsid w:val="00870515"/>
    <w:rsid w:val="00870F28"/>
    <w:rsid w:val="00871380"/>
    <w:rsid w:val="00871C67"/>
    <w:rsid w:val="00872062"/>
    <w:rsid w:val="0087253A"/>
    <w:rsid w:val="0087258D"/>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6F44"/>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708"/>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7AD7"/>
    <w:rsid w:val="008C043A"/>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1F95"/>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6948"/>
    <w:rsid w:val="008F73FA"/>
    <w:rsid w:val="008F7626"/>
    <w:rsid w:val="008F76EC"/>
    <w:rsid w:val="008F78C3"/>
    <w:rsid w:val="009003B7"/>
    <w:rsid w:val="00900B51"/>
    <w:rsid w:val="00900BBB"/>
    <w:rsid w:val="00901D6D"/>
    <w:rsid w:val="00901DAC"/>
    <w:rsid w:val="00902A70"/>
    <w:rsid w:val="00903007"/>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760"/>
    <w:rsid w:val="00965864"/>
    <w:rsid w:val="009668E0"/>
    <w:rsid w:val="00966C7B"/>
    <w:rsid w:val="00967A4E"/>
    <w:rsid w:val="0097144B"/>
    <w:rsid w:val="009719AE"/>
    <w:rsid w:val="00971DC4"/>
    <w:rsid w:val="009720E4"/>
    <w:rsid w:val="009722C3"/>
    <w:rsid w:val="009724A6"/>
    <w:rsid w:val="00972A0B"/>
    <w:rsid w:val="00973102"/>
    <w:rsid w:val="00973108"/>
    <w:rsid w:val="0097310C"/>
    <w:rsid w:val="00973418"/>
    <w:rsid w:val="009742EA"/>
    <w:rsid w:val="009746FD"/>
    <w:rsid w:val="00974A89"/>
    <w:rsid w:val="00974FCC"/>
    <w:rsid w:val="0097508E"/>
    <w:rsid w:val="00975574"/>
    <w:rsid w:val="009756D9"/>
    <w:rsid w:val="009758A1"/>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13D"/>
    <w:rsid w:val="009B1539"/>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8F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97B"/>
    <w:rsid w:val="00A01F97"/>
    <w:rsid w:val="00A0241B"/>
    <w:rsid w:val="00A0265D"/>
    <w:rsid w:val="00A02D95"/>
    <w:rsid w:val="00A02F7E"/>
    <w:rsid w:val="00A03F3A"/>
    <w:rsid w:val="00A041BF"/>
    <w:rsid w:val="00A0476D"/>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AF6"/>
    <w:rsid w:val="00A47C0A"/>
    <w:rsid w:val="00A50012"/>
    <w:rsid w:val="00A5139A"/>
    <w:rsid w:val="00A51C43"/>
    <w:rsid w:val="00A51D2D"/>
    <w:rsid w:val="00A51F2C"/>
    <w:rsid w:val="00A5201D"/>
    <w:rsid w:val="00A52AA6"/>
    <w:rsid w:val="00A52AED"/>
    <w:rsid w:val="00A53C86"/>
    <w:rsid w:val="00A540D5"/>
    <w:rsid w:val="00A543B6"/>
    <w:rsid w:val="00A54BF0"/>
    <w:rsid w:val="00A55913"/>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5AB"/>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6AC5"/>
    <w:rsid w:val="00A7705B"/>
    <w:rsid w:val="00A779AF"/>
    <w:rsid w:val="00A804A4"/>
    <w:rsid w:val="00A804B7"/>
    <w:rsid w:val="00A80E45"/>
    <w:rsid w:val="00A80F2C"/>
    <w:rsid w:val="00A81372"/>
    <w:rsid w:val="00A8157E"/>
    <w:rsid w:val="00A81EBF"/>
    <w:rsid w:val="00A81F49"/>
    <w:rsid w:val="00A82149"/>
    <w:rsid w:val="00A821D3"/>
    <w:rsid w:val="00A82431"/>
    <w:rsid w:val="00A82605"/>
    <w:rsid w:val="00A831C8"/>
    <w:rsid w:val="00A8340E"/>
    <w:rsid w:val="00A83C39"/>
    <w:rsid w:val="00A84289"/>
    <w:rsid w:val="00A8486C"/>
    <w:rsid w:val="00A84FD0"/>
    <w:rsid w:val="00A85B5D"/>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1E35"/>
    <w:rsid w:val="00AA227A"/>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B18"/>
    <w:rsid w:val="00AB3C40"/>
    <w:rsid w:val="00AB4180"/>
    <w:rsid w:val="00AB4325"/>
    <w:rsid w:val="00AB45E5"/>
    <w:rsid w:val="00AB4893"/>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062"/>
    <w:rsid w:val="00AE030D"/>
    <w:rsid w:val="00AE03E7"/>
    <w:rsid w:val="00AE0C86"/>
    <w:rsid w:val="00AE0CD4"/>
    <w:rsid w:val="00AE16D7"/>
    <w:rsid w:val="00AE19D6"/>
    <w:rsid w:val="00AE1D8D"/>
    <w:rsid w:val="00AE2790"/>
    <w:rsid w:val="00AE295B"/>
    <w:rsid w:val="00AE3ED4"/>
    <w:rsid w:val="00AE4249"/>
    <w:rsid w:val="00AE4521"/>
    <w:rsid w:val="00AE4B43"/>
    <w:rsid w:val="00AE4B55"/>
    <w:rsid w:val="00AE4FFA"/>
    <w:rsid w:val="00AE5753"/>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1F9C"/>
    <w:rsid w:val="00B021E1"/>
    <w:rsid w:val="00B0313B"/>
    <w:rsid w:val="00B042C3"/>
    <w:rsid w:val="00B0436B"/>
    <w:rsid w:val="00B05043"/>
    <w:rsid w:val="00B066C4"/>
    <w:rsid w:val="00B06844"/>
    <w:rsid w:val="00B07308"/>
    <w:rsid w:val="00B07623"/>
    <w:rsid w:val="00B07E2B"/>
    <w:rsid w:val="00B1037D"/>
    <w:rsid w:val="00B10BDE"/>
    <w:rsid w:val="00B11B9F"/>
    <w:rsid w:val="00B11CFF"/>
    <w:rsid w:val="00B125E4"/>
    <w:rsid w:val="00B12BBA"/>
    <w:rsid w:val="00B13C38"/>
    <w:rsid w:val="00B13EEC"/>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69AA"/>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69BD"/>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123"/>
    <w:rsid w:val="00B606F7"/>
    <w:rsid w:val="00B60906"/>
    <w:rsid w:val="00B60A74"/>
    <w:rsid w:val="00B60B7B"/>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6D"/>
    <w:rsid w:val="00B7139D"/>
    <w:rsid w:val="00B713EE"/>
    <w:rsid w:val="00B71804"/>
    <w:rsid w:val="00B72061"/>
    <w:rsid w:val="00B72232"/>
    <w:rsid w:val="00B7233D"/>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5BD5"/>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829"/>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6454"/>
    <w:rsid w:val="00BA6C2F"/>
    <w:rsid w:val="00BA6C34"/>
    <w:rsid w:val="00BA7137"/>
    <w:rsid w:val="00BA7934"/>
    <w:rsid w:val="00BA7DB0"/>
    <w:rsid w:val="00BB0569"/>
    <w:rsid w:val="00BB0DED"/>
    <w:rsid w:val="00BB148F"/>
    <w:rsid w:val="00BB1492"/>
    <w:rsid w:val="00BB17BB"/>
    <w:rsid w:val="00BB1A55"/>
    <w:rsid w:val="00BB1A7D"/>
    <w:rsid w:val="00BB1BF8"/>
    <w:rsid w:val="00BB1CA2"/>
    <w:rsid w:val="00BB1E08"/>
    <w:rsid w:val="00BB2579"/>
    <w:rsid w:val="00BB3896"/>
    <w:rsid w:val="00BB3B4F"/>
    <w:rsid w:val="00BB3BB5"/>
    <w:rsid w:val="00BB3C33"/>
    <w:rsid w:val="00BB40C8"/>
    <w:rsid w:val="00BB46AA"/>
    <w:rsid w:val="00BB56A7"/>
    <w:rsid w:val="00BB5D9E"/>
    <w:rsid w:val="00BB5FE1"/>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0F"/>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702"/>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07FC7"/>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3829"/>
    <w:rsid w:val="00C24722"/>
    <w:rsid w:val="00C24A0B"/>
    <w:rsid w:val="00C24D00"/>
    <w:rsid w:val="00C24DFD"/>
    <w:rsid w:val="00C25DA8"/>
    <w:rsid w:val="00C26018"/>
    <w:rsid w:val="00C265BD"/>
    <w:rsid w:val="00C2679E"/>
    <w:rsid w:val="00C26C04"/>
    <w:rsid w:val="00C26FCF"/>
    <w:rsid w:val="00C26FD1"/>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7C"/>
    <w:rsid w:val="00C508F2"/>
    <w:rsid w:val="00C509BE"/>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8F0"/>
    <w:rsid w:val="00C86166"/>
    <w:rsid w:val="00C8652D"/>
    <w:rsid w:val="00C86836"/>
    <w:rsid w:val="00C86B71"/>
    <w:rsid w:val="00C86FB2"/>
    <w:rsid w:val="00C876F1"/>
    <w:rsid w:val="00C87889"/>
    <w:rsid w:val="00C87C7D"/>
    <w:rsid w:val="00C90006"/>
    <w:rsid w:val="00C9077F"/>
    <w:rsid w:val="00C909E1"/>
    <w:rsid w:val="00C90CAC"/>
    <w:rsid w:val="00C917A6"/>
    <w:rsid w:val="00C91E6A"/>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67"/>
    <w:rsid w:val="00C97316"/>
    <w:rsid w:val="00C976E9"/>
    <w:rsid w:val="00C978D0"/>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6EFA"/>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E08"/>
    <w:rsid w:val="00CC337B"/>
    <w:rsid w:val="00CC3E70"/>
    <w:rsid w:val="00CC4928"/>
    <w:rsid w:val="00CC4DDE"/>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5E7"/>
    <w:rsid w:val="00CE38D1"/>
    <w:rsid w:val="00CE413C"/>
    <w:rsid w:val="00CE43C1"/>
    <w:rsid w:val="00CE46D4"/>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F15"/>
    <w:rsid w:val="00D10A59"/>
    <w:rsid w:val="00D10B96"/>
    <w:rsid w:val="00D11153"/>
    <w:rsid w:val="00D113AA"/>
    <w:rsid w:val="00D11607"/>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933"/>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1BB"/>
    <w:rsid w:val="00E344F9"/>
    <w:rsid w:val="00E34B20"/>
    <w:rsid w:val="00E34B21"/>
    <w:rsid w:val="00E35819"/>
    <w:rsid w:val="00E3690D"/>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9B"/>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2A6A"/>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128B"/>
    <w:rsid w:val="00E8164E"/>
    <w:rsid w:val="00E816F7"/>
    <w:rsid w:val="00E819A5"/>
    <w:rsid w:val="00E819D1"/>
    <w:rsid w:val="00E820BF"/>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2E13"/>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4460"/>
    <w:rsid w:val="00EB51A1"/>
    <w:rsid w:val="00EB5CAE"/>
    <w:rsid w:val="00EB617B"/>
    <w:rsid w:val="00EB703F"/>
    <w:rsid w:val="00EB76B7"/>
    <w:rsid w:val="00EB7FBB"/>
    <w:rsid w:val="00EC0323"/>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B4"/>
    <w:rsid w:val="00F01DE4"/>
    <w:rsid w:val="00F01F22"/>
    <w:rsid w:val="00F03155"/>
    <w:rsid w:val="00F03A9F"/>
    <w:rsid w:val="00F04E0C"/>
    <w:rsid w:val="00F05380"/>
    <w:rsid w:val="00F054F1"/>
    <w:rsid w:val="00F05743"/>
    <w:rsid w:val="00F05847"/>
    <w:rsid w:val="00F05AD4"/>
    <w:rsid w:val="00F05E89"/>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5D6"/>
    <w:rsid w:val="00F629BD"/>
    <w:rsid w:val="00F643BB"/>
    <w:rsid w:val="00F64AFC"/>
    <w:rsid w:val="00F652C8"/>
    <w:rsid w:val="00F654A0"/>
    <w:rsid w:val="00F65803"/>
    <w:rsid w:val="00F65FBD"/>
    <w:rsid w:val="00F66255"/>
    <w:rsid w:val="00F6713A"/>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578"/>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96F"/>
    <w:rsid w:val="00FB4C80"/>
    <w:rsid w:val="00FB5BA3"/>
    <w:rsid w:val="00FB5C67"/>
    <w:rsid w:val="00FB5ED2"/>
    <w:rsid w:val="00FB6A7D"/>
    <w:rsid w:val="00FC0290"/>
    <w:rsid w:val="00FC086F"/>
    <w:rsid w:val="00FC11EA"/>
    <w:rsid w:val="00FC1709"/>
    <w:rsid w:val="00FC2555"/>
    <w:rsid w:val="00FC296F"/>
    <w:rsid w:val="00FC2FC1"/>
    <w:rsid w:val="00FC38BC"/>
    <w:rsid w:val="00FC45E4"/>
    <w:rsid w:val="00FC48D6"/>
    <w:rsid w:val="00FC4B22"/>
    <w:rsid w:val="00FC5984"/>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AFD"/>
    <w:rsid w:val="00FF5D9A"/>
    <w:rsid w:val="00FF5E03"/>
    <w:rsid w:val="00FF6442"/>
    <w:rsid w:val="00FF6C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paragraph" w:styleId="HTML">
    <w:name w:val="HTML Preformatted"/>
    <w:basedOn w:val="a"/>
    <w:link w:val="HTMLChar"/>
    <w:uiPriority w:val="99"/>
    <w:semiHidden/>
    <w:unhideWhenUsed/>
    <w:rsid w:val="006F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rPr>
  </w:style>
  <w:style w:type="character" w:customStyle="1" w:styleId="HTMLChar">
    <w:name w:val="미리 서식이 지정된 HTML Char"/>
    <w:basedOn w:val="a0"/>
    <w:link w:val="HTML"/>
    <w:uiPriority w:val="99"/>
    <w:semiHidden/>
    <w:rsid w:val="006F039F"/>
    <w:rPr>
      <w:rFonts w:ascii="굴림체" w:eastAsia="굴림체" w:hAnsi="굴림체" w:cs="굴림체"/>
      <w:sz w:val="24"/>
      <w:szCs w:val="24"/>
    </w:rPr>
  </w:style>
  <w:style w:type="character" w:customStyle="1" w:styleId="y2iqfc">
    <w:name w:val="y2iqfc"/>
    <w:basedOn w:val="a0"/>
    <w:rsid w:val="006F0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1726574">
      <w:bodyDiv w:val="1"/>
      <w:marLeft w:val="0"/>
      <w:marRight w:val="0"/>
      <w:marTop w:val="0"/>
      <w:marBottom w:val="0"/>
      <w:divBdr>
        <w:top w:val="none" w:sz="0" w:space="0" w:color="auto"/>
        <w:left w:val="none" w:sz="0" w:space="0" w:color="auto"/>
        <w:bottom w:val="none" w:sz="0" w:space="0" w:color="auto"/>
        <w:right w:val="none" w:sz="0" w:space="0" w:color="auto"/>
      </w:divBdr>
      <w:divsChild>
        <w:div w:id="197861396">
          <w:marLeft w:val="547"/>
          <w:marRight w:val="0"/>
          <w:marTop w:val="0"/>
          <w:marBottom w:val="0"/>
          <w:divBdr>
            <w:top w:val="none" w:sz="0" w:space="0" w:color="auto"/>
            <w:left w:val="none" w:sz="0" w:space="0" w:color="auto"/>
            <w:bottom w:val="none" w:sz="0" w:space="0" w:color="auto"/>
            <w:right w:val="none" w:sz="0" w:space="0" w:color="auto"/>
          </w:divBdr>
        </w:div>
        <w:div w:id="2013797799">
          <w:marLeft w:val="1080"/>
          <w:marRight w:val="0"/>
          <w:marTop w:val="0"/>
          <w:marBottom w:val="0"/>
          <w:divBdr>
            <w:top w:val="none" w:sz="0" w:space="0" w:color="auto"/>
            <w:left w:val="none" w:sz="0" w:space="0" w:color="auto"/>
            <w:bottom w:val="none" w:sz="0" w:space="0" w:color="auto"/>
            <w:right w:val="none" w:sz="0" w:space="0" w:color="auto"/>
          </w:divBdr>
        </w:div>
        <w:div w:id="256790671">
          <w:marLeft w:val="1800"/>
          <w:marRight w:val="0"/>
          <w:marTop w:val="0"/>
          <w:marBottom w:val="0"/>
          <w:divBdr>
            <w:top w:val="none" w:sz="0" w:space="0" w:color="auto"/>
            <w:left w:val="none" w:sz="0" w:space="0" w:color="auto"/>
            <w:bottom w:val="none" w:sz="0" w:space="0" w:color="auto"/>
            <w:right w:val="none" w:sz="0" w:space="0" w:color="auto"/>
          </w:divBdr>
        </w:div>
        <w:div w:id="447312187">
          <w:marLeft w:val="1800"/>
          <w:marRight w:val="0"/>
          <w:marTop w:val="0"/>
          <w:marBottom w:val="0"/>
          <w:divBdr>
            <w:top w:val="none" w:sz="0" w:space="0" w:color="auto"/>
            <w:left w:val="none" w:sz="0" w:space="0" w:color="auto"/>
            <w:bottom w:val="none" w:sz="0" w:space="0" w:color="auto"/>
            <w:right w:val="none" w:sz="0" w:space="0" w:color="auto"/>
          </w:divBdr>
        </w:div>
        <w:div w:id="1252736593">
          <w:marLeft w:val="1800"/>
          <w:marRight w:val="0"/>
          <w:marTop w:val="0"/>
          <w:marBottom w:val="0"/>
          <w:divBdr>
            <w:top w:val="none" w:sz="0" w:space="0" w:color="auto"/>
            <w:left w:val="none" w:sz="0" w:space="0" w:color="auto"/>
            <w:bottom w:val="none" w:sz="0" w:space="0" w:color="auto"/>
            <w:right w:val="none" w:sz="0" w:space="0" w:color="auto"/>
          </w:divBdr>
        </w:div>
        <w:div w:id="653294054">
          <w:marLeft w:val="1800"/>
          <w:marRight w:val="0"/>
          <w:marTop w:val="0"/>
          <w:marBottom w:val="0"/>
          <w:divBdr>
            <w:top w:val="none" w:sz="0" w:space="0" w:color="auto"/>
            <w:left w:val="none" w:sz="0" w:space="0" w:color="auto"/>
            <w:bottom w:val="none" w:sz="0" w:space="0" w:color="auto"/>
            <w:right w:val="none" w:sz="0" w:space="0" w:color="auto"/>
          </w:divBdr>
        </w:div>
        <w:div w:id="1870409419">
          <w:marLeft w:val="1800"/>
          <w:marRight w:val="0"/>
          <w:marTop w:val="0"/>
          <w:marBottom w:val="0"/>
          <w:divBdr>
            <w:top w:val="none" w:sz="0" w:space="0" w:color="auto"/>
            <w:left w:val="none" w:sz="0" w:space="0" w:color="auto"/>
            <w:bottom w:val="none" w:sz="0" w:space="0" w:color="auto"/>
            <w:right w:val="none" w:sz="0" w:space="0" w:color="auto"/>
          </w:divBdr>
        </w:div>
        <w:div w:id="1081948279">
          <w:marLeft w:val="1800"/>
          <w:marRight w:val="0"/>
          <w:marTop w:val="0"/>
          <w:marBottom w:val="0"/>
          <w:divBdr>
            <w:top w:val="none" w:sz="0" w:space="0" w:color="auto"/>
            <w:left w:val="none" w:sz="0" w:space="0" w:color="auto"/>
            <w:bottom w:val="none" w:sz="0" w:space="0" w:color="auto"/>
            <w:right w:val="none" w:sz="0" w:space="0" w:color="auto"/>
          </w:divBdr>
        </w:div>
        <w:div w:id="766582786">
          <w:marLeft w:val="1800"/>
          <w:marRight w:val="0"/>
          <w:marTop w:val="0"/>
          <w:marBottom w:val="0"/>
          <w:divBdr>
            <w:top w:val="none" w:sz="0" w:space="0" w:color="auto"/>
            <w:left w:val="none" w:sz="0" w:space="0" w:color="auto"/>
            <w:bottom w:val="none" w:sz="0" w:space="0" w:color="auto"/>
            <w:right w:val="none" w:sz="0" w:space="0" w:color="auto"/>
          </w:divBdr>
        </w:div>
        <w:div w:id="907766340">
          <w:marLeft w:val="1800"/>
          <w:marRight w:val="0"/>
          <w:marTop w:val="0"/>
          <w:marBottom w:val="0"/>
          <w:divBdr>
            <w:top w:val="none" w:sz="0" w:space="0" w:color="auto"/>
            <w:left w:val="none" w:sz="0" w:space="0" w:color="auto"/>
            <w:bottom w:val="none" w:sz="0" w:space="0" w:color="auto"/>
            <w:right w:val="none" w:sz="0" w:space="0" w:color="auto"/>
          </w:divBdr>
        </w:div>
        <w:div w:id="1906407669">
          <w:marLeft w:val="1800"/>
          <w:marRight w:val="0"/>
          <w:marTop w:val="0"/>
          <w:marBottom w:val="0"/>
          <w:divBdr>
            <w:top w:val="none" w:sz="0" w:space="0" w:color="auto"/>
            <w:left w:val="none" w:sz="0" w:space="0" w:color="auto"/>
            <w:bottom w:val="none" w:sz="0" w:space="0" w:color="auto"/>
            <w:right w:val="none" w:sz="0" w:space="0" w:color="auto"/>
          </w:divBdr>
        </w:div>
        <w:div w:id="1521892953">
          <w:marLeft w:val="1800"/>
          <w:marRight w:val="0"/>
          <w:marTop w:val="0"/>
          <w:marBottom w:val="0"/>
          <w:divBdr>
            <w:top w:val="none" w:sz="0" w:space="0" w:color="auto"/>
            <w:left w:val="none" w:sz="0" w:space="0" w:color="auto"/>
            <w:bottom w:val="none" w:sz="0" w:space="0" w:color="auto"/>
            <w:right w:val="none" w:sz="0" w:space="0" w:color="auto"/>
          </w:divBdr>
        </w:div>
      </w:divsChild>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78544897">
      <w:bodyDiv w:val="1"/>
      <w:marLeft w:val="0"/>
      <w:marRight w:val="0"/>
      <w:marTop w:val="0"/>
      <w:marBottom w:val="0"/>
      <w:divBdr>
        <w:top w:val="none" w:sz="0" w:space="0" w:color="auto"/>
        <w:left w:val="none" w:sz="0" w:space="0" w:color="auto"/>
        <w:bottom w:val="none" w:sz="0" w:space="0" w:color="auto"/>
        <w:right w:val="none" w:sz="0" w:space="0" w:color="auto"/>
      </w:divBdr>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4793869">
      <w:bodyDiv w:val="1"/>
      <w:marLeft w:val="0"/>
      <w:marRight w:val="0"/>
      <w:marTop w:val="0"/>
      <w:marBottom w:val="0"/>
      <w:divBdr>
        <w:top w:val="none" w:sz="0" w:space="0" w:color="auto"/>
        <w:left w:val="none" w:sz="0" w:space="0" w:color="auto"/>
        <w:bottom w:val="none" w:sz="0" w:space="0" w:color="auto"/>
        <w:right w:val="none" w:sz="0" w:space="0" w:color="auto"/>
      </w:divBdr>
      <w:divsChild>
        <w:div w:id="1255628673">
          <w:marLeft w:val="547"/>
          <w:marRight w:val="0"/>
          <w:marTop w:val="0"/>
          <w:marBottom w:val="0"/>
          <w:divBdr>
            <w:top w:val="none" w:sz="0" w:space="0" w:color="auto"/>
            <w:left w:val="none" w:sz="0" w:space="0" w:color="auto"/>
            <w:bottom w:val="none" w:sz="0" w:space="0" w:color="auto"/>
            <w:right w:val="none" w:sz="0" w:space="0" w:color="auto"/>
          </w:divBdr>
        </w:div>
        <w:div w:id="1083382460">
          <w:marLeft w:val="1166"/>
          <w:marRight w:val="0"/>
          <w:marTop w:val="0"/>
          <w:marBottom w:val="0"/>
          <w:divBdr>
            <w:top w:val="none" w:sz="0" w:space="0" w:color="auto"/>
            <w:left w:val="none" w:sz="0" w:space="0" w:color="auto"/>
            <w:bottom w:val="none" w:sz="0" w:space="0" w:color="auto"/>
            <w:right w:val="none" w:sz="0" w:space="0" w:color="auto"/>
          </w:divBdr>
        </w:div>
        <w:div w:id="127676163">
          <w:marLeft w:val="1800"/>
          <w:marRight w:val="0"/>
          <w:marTop w:val="0"/>
          <w:marBottom w:val="0"/>
          <w:divBdr>
            <w:top w:val="none" w:sz="0" w:space="0" w:color="auto"/>
            <w:left w:val="none" w:sz="0" w:space="0" w:color="auto"/>
            <w:bottom w:val="none" w:sz="0" w:space="0" w:color="auto"/>
            <w:right w:val="none" w:sz="0" w:space="0" w:color="auto"/>
          </w:divBdr>
        </w:div>
        <w:div w:id="1911499743">
          <w:marLeft w:val="1166"/>
          <w:marRight w:val="0"/>
          <w:marTop w:val="0"/>
          <w:marBottom w:val="0"/>
          <w:divBdr>
            <w:top w:val="none" w:sz="0" w:space="0" w:color="auto"/>
            <w:left w:val="none" w:sz="0" w:space="0" w:color="auto"/>
            <w:bottom w:val="none" w:sz="0" w:space="0" w:color="auto"/>
            <w:right w:val="none" w:sz="0" w:space="0" w:color="auto"/>
          </w:divBdr>
        </w:div>
      </w:divsChild>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10154314">
      <w:bodyDiv w:val="1"/>
      <w:marLeft w:val="0"/>
      <w:marRight w:val="0"/>
      <w:marTop w:val="0"/>
      <w:marBottom w:val="0"/>
      <w:divBdr>
        <w:top w:val="none" w:sz="0" w:space="0" w:color="auto"/>
        <w:left w:val="none" w:sz="0" w:space="0" w:color="auto"/>
        <w:bottom w:val="none" w:sz="0" w:space="0" w:color="auto"/>
        <w:right w:val="none" w:sz="0" w:space="0" w:color="auto"/>
      </w:divBdr>
      <w:divsChild>
        <w:div w:id="53086883">
          <w:marLeft w:val="547"/>
          <w:marRight w:val="0"/>
          <w:marTop w:val="0"/>
          <w:marBottom w:val="0"/>
          <w:divBdr>
            <w:top w:val="none" w:sz="0" w:space="0" w:color="auto"/>
            <w:left w:val="none" w:sz="0" w:space="0" w:color="auto"/>
            <w:bottom w:val="none" w:sz="0" w:space="0" w:color="auto"/>
            <w:right w:val="none" w:sz="0" w:space="0" w:color="auto"/>
          </w:divBdr>
        </w:div>
        <w:div w:id="144518768">
          <w:marLeft w:val="1166"/>
          <w:marRight w:val="0"/>
          <w:marTop w:val="0"/>
          <w:marBottom w:val="0"/>
          <w:divBdr>
            <w:top w:val="none" w:sz="0" w:space="0" w:color="auto"/>
            <w:left w:val="none" w:sz="0" w:space="0" w:color="auto"/>
            <w:bottom w:val="none" w:sz="0" w:space="0" w:color="auto"/>
            <w:right w:val="none" w:sz="0" w:space="0" w:color="auto"/>
          </w:divBdr>
        </w:div>
        <w:div w:id="1217278607">
          <w:marLeft w:val="1166"/>
          <w:marRight w:val="0"/>
          <w:marTop w:val="0"/>
          <w:marBottom w:val="0"/>
          <w:divBdr>
            <w:top w:val="none" w:sz="0" w:space="0" w:color="auto"/>
            <w:left w:val="none" w:sz="0" w:space="0" w:color="auto"/>
            <w:bottom w:val="none" w:sz="0" w:space="0" w:color="auto"/>
            <w:right w:val="none" w:sz="0" w:space="0" w:color="auto"/>
          </w:divBdr>
        </w:div>
        <w:div w:id="660354182">
          <w:marLeft w:val="547"/>
          <w:marRight w:val="0"/>
          <w:marTop w:val="0"/>
          <w:marBottom w:val="0"/>
          <w:divBdr>
            <w:top w:val="none" w:sz="0" w:space="0" w:color="auto"/>
            <w:left w:val="none" w:sz="0" w:space="0" w:color="auto"/>
            <w:bottom w:val="none" w:sz="0" w:space="0" w:color="auto"/>
            <w:right w:val="none" w:sz="0" w:space="0" w:color="auto"/>
          </w:divBdr>
        </w:div>
        <w:div w:id="1186207893">
          <w:marLeft w:val="1166"/>
          <w:marRight w:val="0"/>
          <w:marTop w:val="0"/>
          <w:marBottom w:val="0"/>
          <w:divBdr>
            <w:top w:val="none" w:sz="0" w:space="0" w:color="auto"/>
            <w:left w:val="none" w:sz="0" w:space="0" w:color="auto"/>
            <w:bottom w:val="none" w:sz="0" w:space="0" w:color="auto"/>
            <w:right w:val="none" w:sz="0" w:space="0" w:color="auto"/>
          </w:divBdr>
        </w:div>
      </w:divsChild>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4723689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6397325">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765805108">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51811815">
      <w:bodyDiv w:val="1"/>
      <w:marLeft w:val="0"/>
      <w:marRight w:val="0"/>
      <w:marTop w:val="0"/>
      <w:marBottom w:val="0"/>
      <w:divBdr>
        <w:top w:val="none" w:sz="0" w:space="0" w:color="auto"/>
        <w:left w:val="none" w:sz="0" w:space="0" w:color="auto"/>
        <w:bottom w:val="none" w:sz="0" w:space="0" w:color="auto"/>
        <w:right w:val="none" w:sz="0" w:space="0" w:color="auto"/>
      </w:divBdr>
      <w:divsChild>
        <w:div w:id="1664235228">
          <w:marLeft w:val="547"/>
          <w:marRight w:val="0"/>
          <w:marTop w:val="0"/>
          <w:marBottom w:val="0"/>
          <w:divBdr>
            <w:top w:val="none" w:sz="0" w:space="0" w:color="auto"/>
            <w:left w:val="none" w:sz="0" w:space="0" w:color="auto"/>
            <w:bottom w:val="none" w:sz="0" w:space="0" w:color="auto"/>
            <w:right w:val="none" w:sz="0" w:space="0" w:color="auto"/>
          </w:divBdr>
        </w:div>
        <w:div w:id="832262893">
          <w:marLeft w:val="1166"/>
          <w:marRight w:val="0"/>
          <w:marTop w:val="0"/>
          <w:marBottom w:val="0"/>
          <w:divBdr>
            <w:top w:val="none" w:sz="0" w:space="0" w:color="auto"/>
            <w:left w:val="none" w:sz="0" w:space="0" w:color="auto"/>
            <w:bottom w:val="none" w:sz="0" w:space="0" w:color="auto"/>
            <w:right w:val="none" w:sz="0" w:space="0" w:color="auto"/>
          </w:divBdr>
        </w:div>
        <w:div w:id="1179853482">
          <w:marLeft w:val="547"/>
          <w:marRight w:val="0"/>
          <w:marTop w:val="0"/>
          <w:marBottom w:val="0"/>
          <w:divBdr>
            <w:top w:val="none" w:sz="0" w:space="0" w:color="auto"/>
            <w:left w:val="none" w:sz="0" w:space="0" w:color="auto"/>
            <w:bottom w:val="none" w:sz="0" w:space="0" w:color="auto"/>
            <w:right w:val="none" w:sz="0" w:space="0" w:color="auto"/>
          </w:divBdr>
        </w:div>
        <w:div w:id="1003895474">
          <w:marLeft w:val="1166"/>
          <w:marRight w:val="0"/>
          <w:marTop w:val="0"/>
          <w:marBottom w:val="0"/>
          <w:divBdr>
            <w:top w:val="none" w:sz="0" w:space="0" w:color="auto"/>
            <w:left w:val="none" w:sz="0" w:space="0" w:color="auto"/>
            <w:bottom w:val="none" w:sz="0" w:space="0" w:color="auto"/>
            <w:right w:val="none" w:sz="0" w:space="0" w:color="auto"/>
          </w:divBdr>
        </w:div>
        <w:div w:id="1192648944">
          <w:marLeft w:val="1800"/>
          <w:marRight w:val="0"/>
          <w:marTop w:val="0"/>
          <w:marBottom w:val="0"/>
          <w:divBdr>
            <w:top w:val="none" w:sz="0" w:space="0" w:color="auto"/>
            <w:left w:val="none" w:sz="0" w:space="0" w:color="auto"/>
            <w:bottom w:val="none" w:sz="0" w:space="0" w:color="auto"/>
            <w:right w:val="none" w:sz="0" w:space="0" w:color="auto"/>
          </w:divBdr>
        </w:div>
        <w:div w:id="324481620">
          <w:marLeft w:val="1166"/>
          <w:marRight w:val="0"/>
          <w:marTop w:val="0"/>
          <w:marBottom w:val="0"/>
          <w:divBdr>
            <w:top w:val="none" w:sz="0" w:space="0" w:color="auto"/>
            <w:left w:val="none" w:sz="0" w:space="0" w:color="auto"/>
            <w:bottom w:val="none" w:sz="0" w:space="0" w:color="auto"/>
            <w:right w:val="none" w:sz="0" w:space="0" w:color="auto"/>
          </w:divBdr>
        </w:div>
        <w:div w:id="1610628340">
          <w:marLeft w:val="547"/>
          <w:marRight w:val="0"/>
          <w:marTop w:val="0"/>
          <w:marBottom w:val="0"/>
          <w:divBdr>
            <w:top w:val="none" w:sz="0" w:space="0" w:color="auto"/>
            <w:left w:val="none" w:sz="0" w:space="0" w:color="auto"/>
            <w:bottom w:val="none" w:sz="0" w:space="0" w:color="auto"/>
            <w:right w:val="none" w:sz="0" w:space="0" w:color="auto"/>
          </w:divBdr>
        </w:div>
        <w:div w:id="1162507297">
          <w:marLeft w:val="1166"/>
          <w:marRight w:val="0"/>
          <w:marTop w:val="0"/>
          <w:marBottom w:val="0"/>
          <w:divBdr>
            <w:top w:val="none" w:sz="0" w:space="0" w:color="auto"/>
            <w:left w:val="none" w:sz="0" w:space="0" w:color="auto"/>
            <w:bottom w:val="none" w:sz="0" w:space="0" w:color="auto"/>
            <w:right w:val="none" w:sz="0" w:space="0" w:color="auto"/>
          </w:divBdr>
        </w:div>
      </w:divsChild>
    </w:div>
    <w:div w:id="1252272606">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0645561">
      <w:bodyDiv w:val="1"/>
      <w:marLeft w:val="0"/>
      <w:marRight w:val="0"/>
      <w:marTop w:val="0"/>
      <w:marBottom w:val="0"/>
      <w:divBdr>
        <w:top w:val="none" w:sz="0" w:space="0" w:color="auto"/>
        <w:left w:val="none" w:sz="0" w:space="0" w:color="auto"/>
        <w:bottom w:val="none" w:sz="0" w:space="0" w:color="auto"/>
        <w:right w:val="none" w:sz="0" w:space="0" w:color="auto"/>
      </w:divBdr>
      <w:divsChild>
        <w:div w:id="789396181">
          <w:marLeft w:val="547"/>
          <w:marRight w:val="0"/>
          <w:marTop w:val="0"/>
          <w:marBottom w:val="0"/>
          <w:divBdr>
            <w:top w:val="none" w:sz="0" w:space="0" w:color="auto"/>
            <w:left w:val="none" w:sz="0" w:space="0" w:color="auto"/>
            <w:bottom w:val="none" w:sz="0" w:space="0" w:color="auto"/>
            <w:right w:val="none" w:sz="0" w:space="0" w:color="auto"/>
          </w:divBdr>
        </w:div>
        <w:div w:id="1163352636">
          <w:marLeft w:val="1166"/>
          <w:marRight w:val="0"/>
          <w:marTop w:val="0"/>
          <w:marBottom w:val="0"/>
          <w:divBdr>
            <w:top w:val="none" w:sz="0" w:space="0" w:color="auto"/>
            <w:left w:val="none" w:sz="0" w:space="0" w:color="auto"/>
            <w:bottom w:val="none" w:sz="0" w:space="0" w:color="auto"/>
            <w:right w:val="none" w:sz="0" w:space="0" w:color="auto"/>
          </w:divBdr>
        </w:div>
        <w:div w:id="2004044475">
          <w:marLeft w:val="1800"/>
          <w:marRight w:val="0"/>
          <w:marTop w:val="0"/>
          <w:marBottom w:val="0"/>
          <w:divBdr>
            <w:top w:val="none" w:sz="0" w:space="0" w:color="auto"/>
            <w:left w:val="none" w:sz="0" w:space="0" w:color="auto"/>
            <w:bottom w:val="none" w:sz="0" w:space="0" w:color="auto"/>
            <w:right w:val="none" w:sz="0" w:space="0" w:color="auto"/>
          </w:divBdr>
        </w:div>
        <w:div w:id="863598259">
          <w:marLeft w:val="1166"/>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29284426">
      <w:bodyDiv w:val="1"/>
      <w:marLeft w:val="0"/>
      <w:marRight w:val="0"/>
      <w:marTop w:val="0"/>
      <w:marBottom w:val="0"/>
      <w:divBdr>
        <w:top w:val="none" w:sz="0" w:space="0" w:color="auto"/>
        <w:left w:val="none" w:sz="0" w:space="0" w:color="auto"/>
        <w:bottom w:val="none" w:sz="0" w:space="0" w:color="auto"/>
        <w:right w:val="none" w:sz="0" w:space="0" w:color="auto"/>
      </w:divBdr>
      <w:divsChild>
        <w:div w:id="987319312">
          <w:marLeft w:val="547"/>
          <w:marRight w:val="0"/>
          <w:marTop w:val="0"/>
          <w:marBottom w:val="0"/>
          <w:divBdr>
            <w:top w:val="none" w:sz="0" w:space="0" w:color="auto"/>
            <w:left w:val="none" w:sz="0" w:space="0" w:color="auto"/>
            <w:bottom w:val="none" w:sz="0" w:space="0" w:color="auto"/>
            <w:right w:val="none" w:sz="0" w:space="0" w:color="auto"/>
          </w:divBdr>
        </w:div>
        <w:div w:id="451096599">
          <w:marLeft w:val="1166"/>
          <w:marRight w:val="0"/>
          <w:marTop w:val="0"/>
          <w:marBottom w:val="0"/>
          <w:divBdr>
            <w:top w:val="none" w:sz="0" w:space="0" w:color="auto"/>
            <w:left w:val="none" w:sz="0" w:space="0" w:color="auto"/>
            <w:bottom w:val="none" w:sz="0" w:space="0" w:color="auto"/>
            <w:right w:val="none" w:sz="0" w:space="0" w:color="auto"/>
          </w:divBdr>
        </w:div>
        <w:div w:id="902299841">
          <w:marLeft w:val="547"/>
          <w:marRight w:val="0"/>
          <w:marTop w:val="0"/>
          <w:marBottom w:val="0"/>
          <w:divBdr>
            <w:top w:val="none" w:sz="0" w:space="0" w:color="auto"/>
            <w:left w:val="none" w:sz="0" w:space="0" w:color="auto"/>
            <w:bottom w:val="none" w:sz="0" w:space="0" w:color="auto"/>
            <w:right w:val="none" w:sz="0" w:space="0" w:color="auto"/>
          </w:divBdr>
        </w:div>
        <w:div w:id="836381475">
          <w:marLeft w:val="1166"/>
          <w:marRight w:val="0"/>
          <w:marTop w:val="0"/>
          <w:marBottom w:val="0"/>
          <w:divBdr>
            <w:top w:val="none" w:sz="0" w:space="0" w:color="auto"/>
            <w:left w:val="none" w:sz="0" w:space="0" w:color="auto"/>
            <w:bottom w:val="none" w:sz="0" w:space="0" w:color="auto"/>
            <w:right w:val="none" w:sz="0" w:space="0" w:color="auto"/>
          </w:divBdr>
        </w:div>
        <w:div w:id="125589397">
          <w:marLeft w:val="1800"/>
          <w:marRight w:val="0"/>
          <w:marTop w:val="0"/>
          <w:marBottom w:val="0"/>
          <w:divBdr>
            <w:top w:val="none" w:sz="0" w:space="0" w:color="auto"/>
            <w:left w:val="none" w:sz="0" w:space="0" w:color="auto"/>
            <w:bottom w:val="none" w:sz="0" w:space="0" w:color="auto"/>
            <w:right w:val="none" w:sz="0" w:space="0" w:color="auto"/>
          </w:divBdr>
        </w:div>
        <w:div w:id="396903124">
          <w:marLeft w:val="1166"/>
          <w:marRight w:val="0"/>
          <w:marTop w:val="0"/>
          <w:marBottom w:val="0"/>
          <w:divBdr>
            <w:top w:val="none" w:sz="0" w:space="0" w:color="auto"/>
            <w:left w:val="none" w:sz="0" w:space="0" w:color="auto"/>
            <w:bottom w:val="none" w:sz="0" w:space="0" w:color="auto"/>
            <w:right w:val="none" w:sz="0" w:space="0" w:color="auto"/>
          </w:divBdr>
        </w:div>
        <w:div w:id="619729527">
          <w:marLeft w:val="547"/>
          <w:marRight w:val="0"/>
          <w:marTop w:val="0"/>
          <w:marBottom w:val="0"/>
          <w:divBdr>
            <w:top w:val="none" w:sz="0" w:space="0" w:color="auto"/>
            <w:left w:val="none" w:sz="0" w:space="0" w:color="auto"/>
            <w:bottom w:val="none" w:sz="0" w:space="0" w:color="auto"/>
            <w:right w:val="none" w:sz="0" w:space="0" w:color="auto"/>
          </w:divBdr>
        </w:div>
        <w:div w:id="146364864">
          <w:marLeft w:val="1166"/>
          <w:marRight w:val="0"/>
          <w:marTop w:val="0"/>
          <w:marBottom w:val="0"/>
          <w:divBdr>
            <w:top w:val="none" w:sz="0" w:space="0" w:color="auto"/>
            <w:left w:val="none" w:sz="0" w:space="0" w:color="auto"/>
            <w:bottom w:val="none" w:sz="0" w:space="0" w:color="auto"/>
            <w:right w:val="none" w:sz="0" w:space="0" w:color="auto"/>
          </w:divBdr>
        </w:div>
      </w:divsChild>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9014802">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19F9E-2FFF-4ECB-A954-F84B21503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1073</Words>
  <Characters>6120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7179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2</cp:revision>
  <cp:lastPrinted>2019-08-16T06:32:00Z</cp:lastPrinted>
  <dcterms:created xsi:type="dcterms:W3CDTF">2023-08-11T01:34:00Z</dcterms:created>
  <dcterms:modified xsi:type="dcterms:W3CDTF">2023-08-11T01:34:00Z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